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CB20E" w14:textId="77777777" w:rsidR="00273F7F" w:rsidRPr="00530F17" w:rsidRDefault="00277BF6" w:rsidP="00516E0F">
      <w:pPr>
        <w:spacing w:line="480" w:lineRule="auto"/>
        <w:rPr>
          <w:rFonts w:ascii="Times New Roman" w:hAnsi="Times New Roman"/>
          <w:b/>
          <w:sz w:val="28"/>
          <w:lang w:val="en-GB"/>
        </w:rPr>
      </w:pPr>
      <w:r w:rsidRPr="00530F17">
        <w:rPr>
          <w:rFonts w:ascii="Times New Roman" w:hAnsi="Times New Roman"/>
          <w:b/>
          <w:sz w:val="28"/>
          <w:lang w:val="en-GB"/>
        </w:rPr>
        <w:t>The</w:t>
      </w:r>
      <w:r w:rsidR="00FE65CA" w:rsidRPr="00530F17">
        <w:rPr>
          <w:rFonts w:ascii="Times New Roman" w:hAnsi="Times New Roman"/>
          <w:b/>
          <w:sz w:val="28"/>
          <w:lang w:val="en-GB"/>
        </w:rPr>
        <w:t xml:space="preserve"> case for a participation income: Acknowledging and valuing the diversity of social participation </w:t>
      </w:r>
    </w:p>
    <w:p w14:paraId="21948406" w14:textId="77777777" w:rsidR="00FE65CA" w:rsidRPr="00530F17" w:rsidRDefault="00FE65CA" w:rsidP="00516E0F">
      <w:pPr>
        <w:spacing w:line="480" w:lineRule="auto"/>
        <w:rPr>
          <w:rFonts w:ascii="Times New Roman" w:hAnsi="Times New Roman"/>
          <w:lang w:val="en-GB"/>
        </w:rPr>
      </w:pPr>
    </w:p>
    <w:p w14:paraId="0451E34D" w14:textId="25026919" w:rsidR="008C5AC6" w:rsidRPr="00530F17" w:rsidRDefault="008C5AC6" w:rsidP="00516E0F">
      <w:pPr>
        <w:spacing w:line="480" w:lineRule="auto"/>
        <w:rPr>
          <w:rFonts w:ascii="Times New Roman" w:hAnsi="Times New Roman"/>
          <w:lang w:val="en-GB"/>
        </w:rPr>
      </w:pPr>
      <w:r w:rsidRPr="00530F17">
        <w:rPr>
          <w:rFonts w:ascii="Times New Roman" w:hAnsi="Times New Roman"/>
          <w:lang w:val="en-GB"/>
        </w:rPr>
        <w:t xml:space="preserve">Heikki Hiilamo, </w:t>
      </w:r>
    </w:p>
    <w:p w14:paraId="443AF629" w14:textId="12CC6872" w:rsidR="008C5AC6" w:rsidRPr="00530F17" w:rsidRDefault="008C5AC6" w:rsidP="00516E0F">
      <w:pPr>
        <w:spacing w:line="480" w:lineRule="auto"/>
        <w:rPr>
          <w:rFonts w:ascii="Times New Roman" w:hAnsi="Times New Roman"/>
          <w:lang w:val="en-GB"/>
        </w:rPr>
      </w:pPr>
      <w:r w:rsidRPr="00530F17">
        <w:rPr>
          <w:rFonts w:ascii="Times New Roman" w:hAnsi="Times New Roman"/>
          <w:lang w:val="en-GB"/>
        </w:rPr>
        <w:t xml:space="preserve">Faculty of Social Sciences, University of Helsinki, Finland </w:t>
      </w:r>
    </w:p>
    <w:p w14:paraId="6886B4A1" w14:textId="77777777" w:rsidR="008C5AC6" w:rsidRPr="00530F17" w:rsidRDefault="008C5AC6" w:rsidP="00516E0F">
      <w:pPr>
        <w:spacing w:line="480" w:lineRule="auto"/>
        <w:rPr>
          <w:rFonts w:ascii="Times New Roman" w:hAnsi="Times New Roman"/>
          <w:lang w:val="en-GB"/>
        </w:rPr>
      </w:pPr>
    </w:p>
    <w:p w14:paraId="46CF9CBA" w14:textId="59F84766" w:rsidR="008C5AC6" w:rsidRPr="00530F17" w:rsidRDefault="008C5AC6" w:rsidP="00516E0F">
      <w:pPr>
        <w:spacing w:line="480" w:lineRule="auto"/>
        <w:rPr>
          <w:rFonts w:ascii="Times New Roman" w:hAnsi="Times New Roman"/>
          <w:lang w:val="en-GB"/>
        </w:rPr>
      </w:pPr>
      <w:r w:rsidRPr="00530F17">
        <w:rPr>
          <w:rFonts w:ascii="Times New Roman" w:hAnsi="Times New Roman"/>
          <w:lang w:val="en-GB"/>
        </w:rPr>
        <w:t>Kathrin Komp,</w:t>
      </w:r>
    </w:p>
    <w:p w14:paraId="7EE10026" w14:textId="77777777" w:rsidR="008C5AC6" w:rsidRPr="00530F17" w:rsidRDefault="008C5AC6" w:rsidP="008C5AC6">
      <w:pPr>
        <w:spacing w:line="480" w:lineRule="auto"/>
        <w:rPr>
          <w:rFonts w:ascii="Times New Roman" w:hAnsi="Times New Roman"/>
          <w:lang w:val="en-GB"/>
        </w:rPr>
      </w:pPr>
      <w:r w:rsidRPr="00530F17">
        <w:rPr>
          <w:rFonts w:ascii="Times New Roman" w:hAnsi="Times New Roman"/>
          <w:lang w:val="en-GB"/>
        </w:rPr>
        <w:t xml:space="preserve">Faculty of Social Sciences, University of Helsinki, Finland </w:t>
      </w:r>
    </w:p>
    <w:p w14:paraId="5489C442" w14:textId="77777777" w:rsidR="008C5AC6" w:rsidRPr="00530F17" w:rsidRDefault="008C5AC6" w:rsidP="00516E0F">
      <w:pPr>
        <w:spacing w:line="480" w:lineRule="auto"/>
        <w:rPr>
          <w:rFonts w:ascii="Times New Roman" w:hAnsi="Times New Roman"/>
          <w:lang w:val="en-GB"/>
        </w:rPr>
      </w:pPr>
    </w:p>
    <w:p w14:paraId="65D779E7" w14:textId="0A502F2D" w:rsidR="243A52D1" w:rsidRPr="00530F17" w:rsidRDefault="243A52D1" w:rsidP="00516E0F">
      <w:pPr>
        <w:spacing w:line="480" w:lineRule="auto"/>
        <w:rPr>
          <w:rFonts w:ascii="Times New Roman" w:hAnsi="Times New Roman"/>
          <w:b/>
          <w:lang w:val="en-GB"/>
        </w:rPr>
      </w:pPr>
      <w:r w:rsidRPr="00530F17">
        <w:rPr>
          <w:rFonts w:ascii="Times New Roman" w:hAnsi="Times New Roman"/>
          <w:b/>
          <w:lang w:val="en-GB"/>
        </w:rPr>
        <w:t xml:space="preserve">Abstract </w:t>
      </w:r>
    </w:p>
    <w:p w14:paraId="29BB5373" w14:textId="39D10E7D" w:rsidR="00DE5FBD" w:rsidRPr="00530F17" w:rsidRDefault="00DE5FBD" w:rsidP="00516E0F">
      <w:pPr>
        <w:spacing w:line="480" w:lineRule="auto"/>
        <w:rPr>
          <w:rFonts w:ascii="Times New Roman" w:hAnsi="Times New Roman"/>
          <w:lang w:val="en-GB"/>
        </w:rPr>
      </w:pPr>
      <w:r w:rsidRPr="00530F17">
        <w:rPr>
          <w:rFonts w:ascii="Times New Roman" w:hAnsi="Times New Roman"/>
          <w:lang w:val="en-GB"/>
        </w:rPr>
        <w:t xml:space="preserve">Atkinson’s idea </w:t>
      </w:r>
      <w:r w:rsidR="008C5AC6" w:rsidRPr="00530F17">
        <w:rPr>
          <w:rFonts w:ascii="Times New Roman" w:hAnsi="Times New Roman"/>
          <w:lang w:val="en-GB"/>
        </w:rPr>
        <w:t xml:space="preserve">of </w:t>
      </w:r>
      <w:r w:rsidRPr="00530F17">
        <w:rPr>
          <w:rFonts w:ascii="Times New Roman" w:hAnsi="Times New Roman"/>
          <w:lang w:val="en-GB"/>
        </w:rPr>
        <w:t xml:space="preserve">a participation income </w:t>
      </w:r>
      <w:r w:rsidR="00D22A3E" w:rsidRPr="00530F17">
        <w:rPr>
          <w:rFonts w:ascii="Times New Roman" w:hAnsi="Times New Roman"/>
          <w:lang w:val="en-GB"/>
        </w:rPr>
        <w:t xml:space="preserve">draws attention to the various ways in which people partake in society. </w:t>
      </w:r>
      <w:r w:rsidR="00BB4F3F" w:rsidRPr="00530F17">
        <w:rPr>
          <w:rFonts w:ascii="Times New Roman" w:hAnsi="Times New Roman"/>
          <w:lang w:val="en-GB"/>
        </w:rPr>
        <w:t xml:space="preserve">Current discussions on social participation go beyond paid work – also focusing on </w:t>
      </w:r>
      <w:r w:rsidR="00D22A3E" w:rsidRPr="00530F17">
        <w:rPr>
          <w:rFonts w:ascii="Times New Roman" w:hAnsi="Times New Roman"/>
          <w:lang w:val="en-GB"/>
        </w:rPr>
        <w:t xml:space="preserve">volunteering, education, and </w:t>
      </w:r>
      <w:r w:rsidR="008C5AC6" w:rsidRPr="00530F17">
        <w:rPr>
          <w:rFonts w:ascii="Times New Roman" w:hAnsi="Times New Roman"/>
          <w:lang w:val="en-GB"/>
        </w:rPr>
        <w:t>caregiving</w:t>
      </w:r>
      <w:r w:rsidR="00D22A3E" w:rsidRPr="00530F17">
        <w:rPr>
          <w:rFonts w:ascii="Times New Roman" w:hAnsi="Times New Roman"/>
          <w:lang w:val="en-GB"/>
        </w:rPr>
        <w:t xml:space="preserve"> to kin</w:t>
      </w:r>
      <w:r w:rsidR="00BB4F3F" w:rsidRPr="00530F17">
        <w:rPr>
          <w:rFonts w:ascii="Times New Roman" w:hAnsi="Times New Roman"/>
          <w:lang w:val="en-GB"/>
        </w:rPr>
        <w:t>.</w:t>
      </w:r>
      <w:r w:rsidR="00D22A3E" w:rsidRPr="00530F17">
        <w:rPr>
          <w:rFonts w:ascii="Times New Roman" w:hAnsi="Times New Roman"/>
          <w:lang w:val="en-GB"/>
        </w:rPr>
        <w:t xml:space="preserve"> </w:t>
      </w:r>
      <w:r w:rsidR="0066615D" w:rsidRPr="00530F17">
        <w:rPr>
          <w:rFonts w:ascii="Times New Roman" w:hAnsi="Times New Roman"/>
          <w:lang w:val="en-GB"/>
        </w:rPr>
        <w:t xml:space="preserve">With the idea of the participation income, </w:t>
      </w:r>
      <w:r w:rsidR="007D1225">
        <w:rPr>
          <w:rFonts w:ascii="Times New Roman" w:hAnsi="Times New Roman"/>
          <w:lang w:val="en-GB"/>
        </w:rPr>
        <w:t>various forms</w:t>
      </w:r>
      <w:r w:rsidR="0066615D" w:rsidRPr="00530F17">
        <w:rPr>
          <w:rFonts w:ascii="Times New Roman" w:hAnsi="Times New Roman"/>
          <w:lang w:val="en-GB"/>
        </w:rPr>
        <w:t xml:space="preserve"> to contribute to society can be highlighted and acknowledged. This article investigates how the idea of a participation income is </w:t>
      </w:r>
      <w:r w:rsidR="00572E02">
        <w:rPr>
          <w:rFonts w:ascii="Times New Roman" w:hAnsi="Times New Roman"/>
          <w:lang w:val="en-GB"/>
        </w:rPr>
        <w:t>reflected</w:t>
      </w:r>
      <w:r w:rsidR="00572E02" w:rsidRPr="00530F17">
        <w:rPr>
          <w:rFonts w:ascii="Times New Roman" w:hAnsi="Times New Roman"/>
          <w:lang w:val="en-GB"/>
        </w:rPr>
        <w:t xml:space="preserve"> </w:t>
      </w:r>
      <w:r w:rsidR="0066615D" w:rsidRPr="00530F17">
        <w:rPr>
          <w:rFonts w:ascii="Times New Roman" w:hAnsi="Times New Roman"/>
          <w:lang w:val="en-GB"/>
        </w:rPr>
        <w:t xml:space="preserve">in Danish, Finnish, German and Dutch social policies. </w:t>
      </w:r>
      <w:r w:rsidR="008C5AC6" w:rsidRPr="00530F17">
        <w:rPr>
          <w:rFonts w:ascii="Times New Roman" w:hAnsi="Times New Roman"/>
          <w:lang w:val="en-GB"/>
        </w:rPr>
        <w:t xml:space="preserve">Findings show </w:t>
      </w:r>
      <w:r w:rsidR="0066615D" w:rsidRPr="00530F17">
        <w:rPr>
          <w:rFonts w:ascii="Times New Roman" w:hAnsi="Times New Roman"/>
          <w:lang w:val="en-GB"/>
        </w:rPr>
        <w:t>that elements of a participation income are incorporated in active labour market policies in all countries: Denmark adopted a narrow focus o</w:t>
      </w:r>
      <w:r w:rsidR="008C5AC6" w:rsidRPr="00530F17">
        <w:rPr>
          <w:rFonts w:ascii="Times New Roman" w:hAnsi="Times New Roman"/>
          <w:lang w:val="en-GB"/>
        </w:rPr>
        <w:t>n</w:t>
      </w:r>
      <w:r w:rsidR="0066615D" w:rsidRPr="00530F17">
        <w:rPr>
          <w:rFonts w:ascii="Times New Roman" w:hAnsi="Times New Roman"/>
          <w:lang w:val="en-GB"/>
        </w:rPr>
        <w:t xml:space="preserve"> paid work, Finland seeks tailor-made solutions for the long-term unemployed, Germany reformed many </w:t>
      </w:r>
      <w:r w:rsidR="008C5AC6" w:rsidRPr="00530F17">
        <w:rPr>
          <w:rFonts w:ascii="Times New Roman" w:hAnsi="Times New Roman"/>
          <w:lang w:val="en-GB"/>
        </w:rPr>
        <w:t xml:space="preserve">policy </w:t>
      </w:r>
      <w:r w:rsidR="0066615D" w:rsidRPr="00530F17">
        <w:rPr>
          <w:rFonts w:ascii="Times New Roman" w:hAnsi="Times New Roman"/>
          <w:lang w:val="en-GB"/>
        </w:rPr>
        <w:t xml:space="preserve">areas to achieve a better activation, and the Netherlands acknowledge a wide range of social participation forms. </w:t>
      </w:r>
      <w:r w:rsidR="008C5AC6" w:rsidRPr="00530F17">
        <w:rPr>
          <w:rFonts w:ascii="Times New Roman" w:hAnsi="Times New Roman"/>
          <w:lang w:val="en-GB"/>
        </w:rPr>
        <w:t xml:space="preserve">These country-differences highlight that governments can adopt the idea of a participation income to achieve the focus they desire. </w:t>
      </w:r>
    </w:p>
    <w:p w14:paraId="3D5964DD" w14:textId="5698027F" w:rsidR="243A52D1" w:rsidRPr="00530F17" w:rsidRDefault="243A52D1" w:rsidP="00516E0F">
      <w:pPr>
        <w:spacing w:line="480" w:lineRule="auto"/>
        <w:rPr>
          <w:rFonts w:ascii="Times New Roman" w:hAnsi="Times New Roman"/>
          <w:lang w:val="en-US"/>
        </w:rPr>
      </w:pPr>
    </w:p>
    <w:p w14:paraId="7271C048" w14:textId="08CC1F56" w:rsidR="00EB44E1" w:rsidRPr="00EB44E1" w:rsidRDefault="00EB44E1" w:rsidP="00516E0F">
      <w:pPr>
        <w:spacing w:line="480" w:lineRule="auto"/>
        <w:rPr>
          <w:rFonts w:ascii="Times New Roman" w:hAnsi="Times New Roman"/>
          <w:lang w:val="en-GB"/>
        </w:rPr>
      </w:pPr>
      <w:r>
        <w:rPr>
          <w:rFonts w:ascii="Times New Roman" w:hAnsi="Times New Roman"/>
          <w:b/>
          <w:lang w:val="en-GB"/>
        </w:rPr>
        <w:t>Keywords</w:t>
      </w:r>
      <w:r>
        <w:rPr>
          <w:rFonts w:ascii="Times New Roman" w:hAnsi="Times New Roman"/>
          <w:lang w:val="en-GB"/>
        </w:rPr>
        <w:t xml:space="preserve">: Anthony Atkinson; participation income; social participation; unemployed; labour market; country comparison </w:t>
      </w:r>
    </w:p>
    <w:p w14:paraId="0B7E38B3" w14:textId="77777777" w:rsidR="008C5AC6" w:rsidRPr="00530F17" w:rsidRDefault="008C5AC6">
      <w:pPr>
        <w:spacing w:after="160" w:line="259" w:lineRule="auto"/>
        <w:rPr>
          <w:rFonts w:ascii="Times New Roman" w:hAnsi="Times New Roman"/>
          <w:b/>
          <w:lang w:val="en-GB"/>
        </w:rPr>
      </w:pPr>
      <w:r w:rsidRPr="00530F17">
        <w:rPr>
          <w:rFonts w:ascii="Times New Roman" w:hAnsi="Times New Roman"/>
          <w:b/>
          <w:lang w:val="en-GB"/>
        </w:rPr>
        <w:br w:type="page"/>
      </w:r>
    </w:p>
    <w:p w14:paraId="5CB8F8BC" w14:textId="7B0BB726" w:rsidR="243A52D1" w:rsidRPr="00530F17" w:rsidRDefault="243A52D1" w:rsidP="00516E0F">
      <w:pPr>
        <w:spacing w:line="480" w:lineRule="auto"/>
        <w:rPr>
          <w:rFonts w:ascii="Times New Roman" w:hAnsi="Times New Roman"/>
          <w:b/>
          <w:lang w:val="en-GB"/>
        </w:rPr>
      </w:pPr>
      <w:r w:rsidRPr="00530F17">
        <w:rPr>
          <w:rFonts w:ascii="Times New Roman" w:hAnsi="Times New Roman"/>
          <w:b/>
          <w:lang w:val="en-GB"/>
        </w:rPr>
        <w:lastRenderedPageBreak/>
        <w:t>Introduction</w:t>
      </w:r>
      <w:bookmarkStart w:id="0" w:name="_GoBack"/>
      <w:bookmarkEnd w:id="0"/>
    </w:p>
    <w:p w14:paraId="662154BD" w14:textId="708F3EB4" w:rsidR="004F442E" w:rsidRPr="00530F17" w:rsidRDefault="003B554E" w:rsidP="00516E0F">
      <w:pPr>
        <w:spacing w:line="480" w:lineRule="auto"/>
        <w:rPr>
          <w:rFonts w:ascii="Times New Roman" w:hAnsi="Times New Roman"/>
          <w:lang w:val="en-GB"/>
        </w:rPr>
      </w:pPr>
      <w:r w:rsidRPr="00530F17">
        <w:rPr>
          <w:rFonts w:ascii="Times New Roman" w:hAnsi="Times New Roman"/>
          <w:lang w:val="en-GB"/>
        </w:rPr>
        <w:t xml:space="preserve">Anthony </w:t>
      </w:r>
      <w:r w:rsidR="00277BF6" w:rsidRPr="00530F17">
        <w:rPr>
          <w:rFonts w:ascii="Times New Roman" w:hAnsi="Times New Roman"/>
          <w:lang w:val="en-GB"/>
        </w:rPr>
        <w:t xml:space="preserve">Atkinson’s seminal article </w:t>
      </w:r>
      <w:r w:rsidR="00EB44E1">
        <w:rPr>
          <w:rFonts w:ascii="Times New Roman" w:hAnsi="Times New Roman"/>
          <w:lang w:val="en-GB"/>
        </w:rPr>
        <w:t>‘</w:t>
      </w:r>
      <w:r w:rsidR="00277BF6" w:rsidRPr="00530F17">
        <w:rPr>
          <w:rFonts w:ascii="Times New Roman" w:hAnsi="Times New Roman"/>
          <w:lang w:val="en-GB"/>
        </w:rPr>
        <w:t xml:space="preserve">The case for a participation </w:t>
      </w:r>
      <w:r w:rsidR="00277BF6" w:rsidRPr="00933BD7">
        <w:rPr>
          <w:rFonts w:ascii="Times New Roman" w:hAnsi="Times New Roman"/>
          <w:lang w:val="en-GB"/>
        </w:rPr>
        <w:t>income</w:t>
      </w:r>
      <w:r w:rsidR="00EB44E1">
        <w:rPr>
          <w:rFonts w:ascii="Times New Roman" w:hAnsi="Times New Roman"/>
          <w:lang w:val="en-GB"/>
        </w:rPr>
        <w:t>’</w:t>
      </w:r>
      <w:r w:rsidR="00277BF6" w:rsidRPr="00530F17">
        <w:rPr>
          <w:rFonts w:ascii="Times New Roman" w:hAnsi="Times New Roman"/>
          <w:lang w:val="en-GB"/>
        </w:rPr>
        <w:t xml:space="preserve"> </w:t>
      </w:r>
      <w:r w:rsidR="00C70C9E" w:rsidRPr="00530F17">
        <w:rPr>
          <w:rFonts w:ascii="Times New Roman" w:hAnsi="Times New Roman"/>
          <w:lang w:val="en-GB"/>
        </w:rPr>
        <w:t xml:space="preserve">drew our attention to the </w:t>
      </w:r>
      <w:r w:rsidR="00BA5D6B" w:rsidRPr="00530F17">
        <w:rPr>
          <w:rFonts w:ascii="Times New Roman" w:hAnsi="Times New Roman"/>
          <w:lang w:val="en-GB"/>
        </w:rPr>
        <w:t>importance</w:t>
      </w:r>
      <w:r w:rsidR="00C70C9E" w:rsidRPr="00530F17">
        <w:rPr>
          <w:rFonts w:ascii="Times New Roman" w:hAnsi="Times New Roman"/>
          <w:lang w:val="en-GB"/>
        </w:rPr>
        <w:t xml:space="preserve"> of social participation. Social participation describes </w:t>
      </w:r>
      <w:r w:rsidR="00894B3E" w:rsidRPr="00530F17">
        <w:rPr>
          <w:rFonts w:ascii="Times New Roman" w:hAnsi="Times New Roman"/>
          <w:lang w:val="en-GB"/>
        </w:rPr>
        <w:t>how people partake in society and contribute to it. According to Atkinson</w:t>
      </w:r>
      <w:r w:rsidR="00894B3E" w:rsidRPr="00933BD7">
        <w:rPr>
          <w:rFonts w:ascii="Times New Roman" w:hAnsi="Times New Roman"/>
          <w:lang w:val="en-GB"/>
        </w:rPr>
        <w:t>,</w:t>
      </w:r>
      <w:r w:rsidR="00894B3E" w:rsidRPr="00530F17">
        <w:rPr>
          <w:rFonts w:ascii="Times New Roman" w:hAnsi="Times New Roman"/>
          <w:lang w:val="en-GB"/>
        </w:rPr>
        <w:t xml:space="preserve"> they can do this, for example, through paid work, volunteering, education, </w:t>
      </w:r>
      <w:r w:rsidR="008C0802" w:rsidRPr="00530F17">
        <w:rPr>
          <w:rFonts w:ascii="Times New Roman" w:hAnsi="Times New Roman"/>
          <w:lang w:val="en-GB"/>
        </w:rPr>
        <w:t xml:space="preserve">and </w:t>
      </w:r>
      <w:r w:rsidR="00894B3E" w:rsidRPr="00530F17">
        <w:rPr>
          <w:rFonts w:ascii="Times New Roman" w:hAnsi="Times New Roman"/>
          <w:lang w:val="en-GB"/>
        </w:rPr>
        <w:t>caregiving for children and frail kin</w:t>
      </w:r>
      <w:r w:rsidR="008C0802" w:rsidRPr="00530F17">
        <w:rPr>
          <w:rFonts w:ascii="Times New Roman" w:hAnsi="Times New Roman"/>
          <w:lang w:val="en-GB"/>
        </w:rPr>
        <w:t>.</w:t>
      </w:r>
      <w:r w:rsidR="006C22AA">
        <w:rPr>
          <w:rFonts w:ascii="Times New Roman" w:hAnsi="Times New Roman"/>
          <w:vertAlign w:val="superscript"/>
          <w:lang w:val="en-GB"/>
        </w:rPr>
        <w:t>§</w:t>
      </w:r>
      <w:r w:rsidR="008C0802" w:rsidRPr="00530F17">
        <w:rPr>
          <w:rFonts w:ascii="Times New Roman" w:hAnsi="Times New Roman"/>
          <w:lang w:val="en-GB"/>
        </w:rPr>
        <w:t xml:space="preserve"> </w:t>
      </w:r>
      <w:r w:rsidR="001B4EB3" w:rsidRPr="00530F17">
        <w:rPr>
          <w:rFonts w:ascii="Times New Roman" w:hAnsi="Times New Roman"/>
          <w:lang w:val="en-GB"/>
        </w:rPr>
        <w:t xml:space="preserve">The remarkable aspect of this enumeration is the range of activities covered, which underlines that individuals can contribute to society through more than just paid work. </w:t>
      </w:r>
      <w:r w:rsidR="00C63A4F" w:rsidRPr="00530F17">
        <w:rPr>
          <w:rFonts w:ascii="Times New Roman" w:hAnsi="Times New Roman"/>
          <w:lang w:val="en-GB"/>
        </w:rPr>
        <w:t>This pe</w:t>
      </w:r>
      <w:r w:rsidR="008E4002" w:rsidRPr="00530F17">
        <w:rPr>
          <w:rFonts w:ascii="Times New Roman" w:hAnsi="Times New Roman"/>
          <w:lang w:val="en-GB"/>
        </w:rPr>
        <w:t>rspective is important nowadays</w:t>
      </w:r>
      <w:r w:rsidR="00C63A4F" w:rsidRPr="00530F17">
        <w:rPr>
          <w:rFonts w:ascii="Times New Roman" w:hAnsi="Times New Roman"/>
          <w:lang w:val="en-GB"/>
        </w:rPr>
        <w:t xml:space="preserve"> as </w:t>
      </w:r>
      <w:r w:rsidR="00BA5D6B" w:rsidRPr="00530F17">
        <w:rPr>
          <w:rFonts w:ascii="Times New Roman" w:hAnsi="Times New Roman"/>
          <w:lang w:val="en-GB"/>
        </w:rPr>
        <w:t xml:space="preserve">unemployment </w:t>
      </w:r>
      <w:r w:rsidR="008E4002" w:rsidRPr="00530F17">
        <w:rPr>
          <w:rFonts w:ascii="Times New Roman" w:hAnsi="Times New Roman"/>
          <w:lang w:val="en-GB"/>
        </w:rPr>
        <w:t>persist</w:t>
      </w:r>
      <w:r w:rsidR="004F442E" w:rsidRPr="00530F17">
        <w:rPr>
          <w:rFonts w:ascii="Times New Roman" w:hAnsi="Times New Roman"/>
          <w:lang w:val="en-GB"/>
        </w:rPr>
        <w:t>s</w:t>
      </w:r>
      <w:r w:rsidR="00516E0F" w:rsidRPr="00530F17">
        <w:rPr>
          <w:rFonts w:ascii="Times New Roman" w:hAnsi="Times New Roman"/>
          <w:lang w:val="en-GB"/>
        </w:rPr>
        <w:t>,</w:t>
      </w:r>
      <w:r w:rsidR="00BA5D6B" w:rsidRPr="00530F17">
        <w:rPr>
          <w:rFonts w:ascii="Times New Roman" w:hAnsi="Times New Roman"/>
          <w:lang w:val="en-GB"/>
        </w:rPr>
        <w:t xml:space="preserve"> </w:t>
      </w:r>
      <w:r w:rsidR="00C63A4F" w:rsidRPr="00530F17">
        <w:rPr>
          <w:rFonts w:ascii="Times New Roman" w:hAnsi="Times New Roman"/>
          <w:lang w:val="en-GB"/>
        </w:rPr>
        <w:t xml:space="preserve">the </w:t>
      </w:r>
      <w:r w:rsidR="00BA5D6B" w:rsidRPr="00530F17">
        <w:rPr>
          <w:rFonts w:ascii="Times New Roman" w:hAnsi="Times New Roman"/>
          <w:lang w:val="en-GB"/>
        </w:rPr>
        <w:t xml:space="preserve">significance </w:t>
      </w:r>
      <w:r w:rsidR="00C63A4F" w:rsidRPr="00530F17">
        <w:rPr>
          <w:rFonts w:ascii="Times New Roman" w:hAnsi="Times New Roman"/>
          <w:lang w:val="en-GB"/>
        </w:rPr>
        <w:t xml:space="preserve">of especially women’s </w:t>
      </w:r>
      <w:r w:rsidR="00BA5D6B" w:rsidRPr="00530F17">
        <w:rPr>
          <w:rFonts w:ascii="Times New Roman" w:hAnsi="Times New Roman"/>
          <w:lang w:val="en-GB"/>
        </w:rPr>
        <w:t>unpaid care work</w:t>
      </w:r>
      <w:r w:rsidR="00C63A4F" w:rsidRPr="00530F17">
        <w:rPr>
          <w:rFonts w:ascii="Times New Roman" w:hAnsi="Times New Roman"/>
          <w:lang w:val="en-GB"/>
        </w:rPr>
        <w:t xml:space="preserve"> is acknowledged, </w:t>
      </w:r>
      <w:r w:rsidR="00516E0F" w:rsidRPr="00530F17">
        <w:rPr>
          <w:rFonts w:ascii="Times New Roman" w:hAnsi="Times New Roman"/>
          <w:lang w:val="en-GB"/>
        </w:rPr>
        <w:t xml:space="preserve">and </w:t>
      </w:r>
      <w:r w:rsidR="00A12006" w:rsidRPr="00530F17">
        <w:rPr>
          <w:rFonts w:ascii="Times New Roman" w:hAnsi="Times New Roman"/>
          <w:lang w:val="en-GB"/>
        </w:rPr>
        <w:t>the retirees’ social contributions through volunteering and grandparental childcare become more visible</w:t>
      </w:r>
      <w:r w:rsidR="00C17FEE" w:rsidRPr="00933BD7">
        <w:rPr>
          <w:rFonts w:ascii="Times New Roman" w:hAnsi="Times New Roman"/>
          <w:lang w:val="en-GB"/>
        </w:rPr>
        <w:t>.</w:t>
      </w:r>
      <w:r w:rsidR="00C17FEE" w:rsidRPr="00530F17">
        <w:rPr>
          <w:rFonts w:ascii="Times New Roman" w:hAnsi="Times New Roman"/>
          <w:lang w:val="en-GB"/>
        </w:rPr>
        <w:t xml:space="preserve"> </w:t>
      </w:r>
      <w:r w:rsidR="00BA2490" w:rsidRPr="00530F17">
        <w:rPr>
          <w:rFonts w:ascii="Times New Roman" w:hAnsi="Times New Roman"/>
          <w:lang w:val="en-GB"/>
        </w:rPr>
        <w:t xml:space="preserve">Acknowledging this range of activities </w:t>
      </w:r>
      <w:r w:rsidR="00BA5D6B" w:rsidRPr="00530F17">
        <w:rPr>
          <w:rFonts w:ascii="Times New Roman" w:hAnsi="Times New Roman"/>
          <w:lang w:val="en-GB"/>
        </w:rPr>
        <w:t xml:space="preserve">allows </w:t>
      </w:r>
      <w:r w:rsidR="00BA2490" w:rsidRPr="00530F17">
        <w:rPr>
          <w:rFonts w:ascii="Times New Roman" w:hAnsi="Times New Roman"/>
          <w:lang w:val="en-GB"/>
        </w:rPr>
        <w:t xml:space="preserve">social policies </w:t>
      </w:r>
      <w:r w:rsidR="00BA5D6B" w:rsidRPr="00530F17">
        <w:rPr>
          <w:rFonts w:ascii="Times New Roman" w:hAnsi="Times New Roman"/>
          <w:lang w:val="en-GB"/>
        </w:rPr>
        <w:t xml:space="preserve">to </w:t>
      </w:r>
      <w:r w:rsidR="00BA2490" w:rsidRPr="00530F17">
        <w:rPr>
          <w:rFonts w:ascii="Times New Roman" w:hAnsi="Times New Roman"/>
          <w:lang w:val="en-GB"/>
        </w:rPr>
        <w:t>adapt to social change</w:t>
      </w:r>
      <w:r w:rsidR="00BA5D6B" w:rsidRPr="00530F17">
        <w:rPr>
          <w:rFonts w:ascii="Times New Roman" w:hAnsi="Times New Roman"/>
          <w:lang w:val="en-GB"/>
        </w:rPr>
        <w:t xml:space="preserve"> if they </w:t>
      </w:r>
      <w:r w:rsidR="00BA2490" w:rsidRPr="00530F17">
        <w:rPr>
          <w:rFonts w:ascii="Times New Roman" w:hAnsi="Times New Roman"/>
          <w:lang w:val="en-GB"/>
        </w:rPr>
        <w:t>value the different ways in which individuals contribute to society.</w:t>
      </w:r>
      <w:r w:rsidR="006C22AA">
        <w:rPr>
          <w:rFonts w:ascii="Times New Roman" w:hAnsi="Times New Roman"/>
          <w:vertAlign w:val="superscript"/>
          <w:lang w:val="en-GB"/>
        </w:rPr>
        <w:t>2</w:t>
      </w:r>
      <w:r w:rsidR="00BA2490" w:rsidRPr="00530F17">
        <w:rPr>
          <w:rFonts w:ascii="Times New Roman" w:hAnsi="Times New Roman"/>
          <w:lang w:val="en-GB"/>
        </w:rPr>
        <w:t xml:space="preserve"> </w:t>
      </w:r>
    </w:p>
    <w:p w14:paraId="6CEF7D17" w14:textId="52CE9771" w:rsidR="00BA5D6B" w:rsidRPr="00530F17" w:rsidRDefault="00A73CBD" w:rsidP="00516E0F">
      <w:pPr>
        <w:spacing w:line="480" w:lineRule="auto"/>
        <w:ind w:firstLine="737"/>
        <w:rPr>
          <w:rFonts w:ascii="Times New Roman" w:hAnsi="Times New Roman"/>
          <w:lang w:val="en-GB"/>
        </w:rPr>
      </w:pPr>
      <w:r w:rsidRPr="00530F17">
        <w:rPr>
          <w:rFonts w:ascii="Times New Roman" w:hAnsi="Times New Roman"/>
          <w:lang w:val="en-GB"/>
        </w:rPr>
        <w:t xml:space="preserve">A crucial </w:t>
      </w:r>
      <w:r w:rsidR="00E954C2" w:rsidRPr="00530F17">
        <w:rPr>
          <w:rFonts w:ascii="Times New Roman" w:hAnsi="Times New Roman"/>
          <w:lang w:val="en-GB"/>
        </w:rPr>
        <w:t xml:space="preserve">aspect of Atkinson’s </w:t>
      </w:r>
      <w:r w:rsidR="00726C26" w:rsidRPr="00530F17">
        <w:rPr>
          <w:rFonts w:ascii="Times New Roman" w:hAnsi="Times New Roman"/>
          <w:lang w:val="en-GB"/>
        </w:rPr>
        <w:t>idea</w:t>
      </w:r>
      <w:r w:rsidR="00E954C2" w:rsidRPr="00530F17">
        <w:rPr>
          <w:rFonts w:ascii="Times New Roman" w:hAnsi="Times New Roman"/>
          <w:lang w:val="en-GB"/>
        </w:rPr>
        <w:t xml:space="preserve"> is </w:t>
      </w:r>
      <w:r w:rsidR="00962ABA" w:rsidRPr="00530F17">
        <w:rPr>
          <w:rFonts w:ascii="Times New Roman" w:hAnsi="Times New Roman"/>
          <w:lang w:val="en-GB"/>
        </w:rPr>
        <w:t xml:space="preserve">that </w:t>
      </w:r>
      <w:r w:rsidR="00EC65FB">
        <w:rPr>
          <w:rFonts w:ascii="Times New Roman" w:hAnsi="Times New Roman"/>
          <w:lang w:val="en-GB"/>
        </w:rPr>
        <w:t xml:space="preserve">certain </w:t>
      </w:r>
      <w:r w:rsidR="00E954C2" w:rsidRPr="00530F17">
        <w:rPr>
          <w:rFonts w:ascii="Times New Roman" w:hAnsi="Times New Roman"/>
          <w:lang w:val="en-GB"/>
        </w:rPr>
        <w:t xml:space="preserve">social rights </w:t>
      </w:r>
      <w:r w:rsidR="00962ABA" w:rsidRPr="00530F17">
        <w:rPr>
          <w:rFonts w:ascii="Times New Roman" w:hAnsi="Times New Roman"/>
          <w:lang w:val="en-GB"/>
        </w:rPr>
        <w:t xml:space="preserve">are tied </w:t>
      </w:r>
      <w:r w:rsidR="00E954C2" w:rsidRPr="00530F17">
        <w:rPr>
          <w:rFonts w:ascii="Times New Roman" w:hAnsi="Times New Roman"/>
          <w:lang w:val="en-GB"/>
        </w:rPr>
        <w:t>to social participation</w:t>
      </w:r>
      <w:r w:rsidR="003B480A">
        <w:rPr>
          <w:rFonts w:ascii="Times New Roman" w:hAnsi="Times New Roman"/>
          <w:lang w:val="en-US"/>
        </w:rPr>
        <w:t xml:space="preserve">. </w:t>
      </w:r>
      <w:r w:rsidR="00D3043A" w:rsidRPr="00530F17">
        <w:rPr>
          <w:rFonts w:ascii="Times New Roman" w:hAnsi="Times New Roman"/>
          <w:lang w:val="en-GB"/>
        </w:rPr>
        <w:t xml:space="preserve">In other words, </w:t>
      </w:r>
      <w:r w:rsidR="00BA5D6B" w:rsidRPr="00530F17">
        <w:rPr>
          <w:rFonts w:ascii="Times New Roman" w:hAnsi="Times New Roman"/>
          <w:lang w:val="en-GB"/>
        </w:rPr>
        <w:t>participation income is for</w:t>
      </w:r>
      <w:r w:rsidR="00E954C2" w:rsidRPr="00530F17">
        <w:rPr>
          <w:rFonts w:ascii="Times New Roman" w:hAnsi="Times New Roman"/>
          <w:lang w:val="en-GB"/>
        </w:rPr>
        <w:t xml:space="preserve"> those who participate in society</w:t>
      </w:r>
      <w:r w:rsidR="003F0F4F" w:rsidRPr="00530F17">
        <w:rPr>
          <w:rFonts w:ascii="Times New Roman" w:hAnsi="Times New Roman"/>
          <w:lang w:val="en-GB"/>
        </w:rPr>
        <w:t xml:space="preserve">. </w:t>
      </w:r>
      <w:r w:rsidR="001F3BB5" w:rsidRPr="00530F17">
        <w:rPr>
          <w:rFonts w:ascii="Times New Roman" w:hAnsi="Times New Roman"/>
          <w:lang w:val="en-GB"/>
        </w:rPr>
        <w:t xml:space="preserve">With this approach </w:t>
      </w:r>
      <w:r w:rsidR="00BA5D6B" w:rsidRPr="00530F17">
        <w:rPr>
          <w:rFonts w:ascii="Times New Roman" w:hAnsi="Times New Roman"/>
          <w:lang w:val="en-GB"/>
        </w:rPr>
        <w:t xml:space="preserve">Atkinson </w:t>
      </w:r>
      <w:r w:rsidR="001F3BB5" w:rsidRPr="00530F17">
        <w:rPr>
          <w:rFonts w:ascii="Times New Roman" w:hAnsi="Times New Roman"/>
          <w:lang w:val="en-GB"/>
        </w:rPr>
        <w:t xml:space="preserve">defines </w:t>
      </w:r>
      <w:r w:rsidR="00880833" w:rsidRPr="00530F17">
        <w:rPr>
          <w:rFonts w:ascii="Times New Roman" w:hAnsi="Times New Roman"/>
          <w:lang w:val="en-GB"/>
        </w:rPr>
        <w:t xml:space="preserve">a society as </w:t>
      </w:r>
      <w:r w:rsidR="008D7183" w:rsidRPr="00530F17">
        <w:rPr>
          <w:rFonts w:ascii="Times New Roman" w:hAnsi="Times New Roman"/>
          <w:lang w:val="en-GB"/>
        </w:rPr>
        <w:t xml:space="preserve">the group of </w:t>
      </w:r>
      <w:r w:rsidR="00880833" w:rsidRPr="00530F17">
        <w:rPr>
          <w:rFonts w:ascii="Times New Roman" w:hAnsi="Times New Roman"/>
          <w:lang w:val="en-GB"/>
        </w:rPr>
        <w:t xml:space="preserve">people who participate in </w:t>
      </w:r>
      <w:r w:rsidR="008D7183" w:rsidRPr="00530F17">
        <w:rPr>
          <w:rFonts w:ascii="Times New Roman" w:hAnsi="Times New Roman"/>
          <w:lang w:val="en-GB"/>
        </w:rPr>
        <w:t>it</w:t>
      </w:r>
      <w:r w:rsidR="00880833" w:rsidRPr="00530F17">
        <w:rPr>
          <w:rFonts w:ascii="Times New Roman" w:hAnsi="Times New Roman"/>
          <w:lang w:val="en-GB"/>
        </w:rPr>
        <w:t xml:space="preserve">, </w:t>
      </w:r>
      <w:r w:rsidR="008D7183" w:rsidRPr="00530F17">
        <w:rPr>
          <w:rFonts w:ascii="Times New Roman" w:hAnsi="Times New Roman"/>
          <w:lang w:val="en-GB"/>
        </w:rPr>
        <w:t xml:space="preserve">meaning </w:t>
      </w:r>
      <w:r w:rsidR="00271D3D" w:rsidRPr="00530F17">
        <w:rPr>
          <w:rFonts w:ascii="Times New Roman" w:hAnsi="Times New Roman"/>
          <w:lang w:val="en-GB"/>
        </w:rPr>
        <w:t xml:space="preserve">he </w:t>
      </w:r>
      <w:r w:rsidR="008D7183" w:rsidRPr="00530F17">
        <w:rPr>
          <w:rFonts w:ascii="Times New Roman" w:hAnsi="Times New Roman"/>
          <w:lang w:val="en-GB"/>
        </w:rPr>
        <w:t>understands society as a</w:t>
      </w:r>
      <w:r w:rsidR="00271D3D" w:rsidRPr="00530F17">
        <w:rPr>
          <w:rFonts w:ascii="Times New Roman" w:hAnsi="Times New Roman"/>
          <w:lang w:val="en-GB"/>
        </w:rPr>
        <w:t xml:space="preserve"> living and active unit that thrives on the contributions of its members. </w:t>
      </w:r>
      <w:r w:rsidR="00BB3B89" w:rsidRPr="00530F17">
        <w:rPr>
          <w:rFonts w:ascii="Times New Roman" w:hAnsi="Times New Roman"/>
          <w:lang w:val="en-GB"/>
        </w:rPr>
        <w:t xml:space="preserve">Anybody who is part of this group can derive social benefits from it. </w:t>
      </w:r>
      <w:r w:rsidR="003F0E7D" w:rsidRPr="00530F17">
        <w:rPr>
          <w:rFonts w:ascii="Times New Roman" w:hAnsi="Times New Roman"/>
          <w:lang w:val="en-GB"/>
        </w:rPr>
        <w:t xml:space="preserve">As such, Atkinson’s approach clearly contrasts with the ideas of legal citizenship and social membership by residence, which have come under close scrutiny lately in the wave of the </w:t>
      </w:r>
      <w:r w:rsidR="00EC65FB">
        <w:rPr>
          <w:rFonts w:ascii="Times New Roman" w:hAnsi="Times New Roman"/>
          <w:lang w:val="en-GB"/>
        </w:rPr>
        <w:t xml:space="preserve">European </w:t>
      </w:r>
      <w:r w:rsidR="003F0E7D" w:rsidRPr="00530F17">
        <w:rPr>
          <w:rFonts w:ascii="Times New Roman" w:hAnsi="Times New Roman"/>
          <w:lang w:val="en-GB"/>
        </w:rPr>
        <w:t>refugee crisis</w:t>
      </w:r>
      <w:r w:rsidR="003F0E7D" w:rsidRPr="00933BD7">
        <w:rPr>
          <w:rFonts w:ascii="Times New Roman" w:hAnsi="Times New Roman"/>
          <w:lang w:val="en-GB"/>
        </w:rPr>
        <w:t>.</w:t>
      </w:r>
      <w:r w:rsidR="003F0E7D" w:rsidRPr="00530F17">
        <w:rPr>
          <w:rFonts w:ascii="Times New Roman" w:hAnsi="Times New Roman"/>
          <w:lang w:val="en-GB"/>
        </w:rPr>
        <w:t xml:space="preserve"> </w:t>
      </w:r>
      <w:r w:rsidR="00885AE4" w:rsidRPr="00530F17">
        <w:rPr>
          <w:rFonts w:ascii="Times New Roman" w:hAnsi="Times New Roman"/>
          <w:lang w:val="en-GB"/>
        </w:rPr>
        <w:t xml:space="preserve">However, the idea of tying social rights to social participation </w:t>
      </w:r>
      <w:r w:rsidR="008D322E" w:rsidRPr="00530F17">
        <w:rPr>
          <w:rFonts w:ascii="Times New Roman" w:hAnsi="Times New Roman"/>
          <w:lang w:val="en-GB"/>
        </w:rPr>
        <w:t>comes</w:t>
      </w:r>
      <w:r w:rsidR="00B10C45" w:rsidRPr="00530F17">
        <w:rPr>
          <w:rFonts w:ascii="Times New Roman" w:hAnsi="Times New Roman"/>
          <w:lang w:val="en-GB"/>
        </w:rPr>
        <w:t xml:space="preserve"> </w:t>
      </w:r>
      <w:r w:rsidR="00BA5D6B" w:rsidRPr="00530F17">
        <w:rPr>
          <w:rFonts w:ascii="Times New Roman" w:hAnsi="Times New Roman"/>
          <w:lang w:val="en-GB"/>
        </w:rPr>
        <w:t>with one major</w:t>
      </w:r>
      <w:r w:rsidR="00B10C45" w:rsidRPr="00530F17">
        <w:rPr>
          <w:rFonts w:ascii="Times New Roman" w:hAnsi="Times New Roman"/>
          <w:lang w:val="en-GB"/>
        </w:rPr>
        <w:t xml:space="preserve"> caveat: it can be hard to implement. </w:t>
      </w:r>
      <w:r w:rsidR="00A05EBF" w:rsidRPr="00530F17">
        <w:rPr>
          <w:rFonts w:ascii="Times New Roman" w:hAnsi="Times New Roman"/>
          <w:lang w:val="en-GB"/>
        </w:rPr>
        <w:t>Many of the abundant activities that constitute social participation are hard to measure</w:t>
      </w:r>
      <w:r w:rsidR="00BA5D6B" w:rsidRPr="00530F17">
        <w:rPr>
          <w:rFonts w:ascii="Times New Roman" w:hAnsi="Times New Roman"/>
          <w:lang w:val="en-GB"/>
        </w:rPr>
        <w:t xml:space="preserve">, </w:t>
      </w:r>
      <w:r w:rsidR="00A05EBF" w:rsidRPr="00530F17">
        <w:rPr>
          <w:rFonts w:ascii="Times New Roman" w:hAnsi="Times New Roman"/>
          <w:lang w:val="en-GB"/>
        </w:rPr>
        <w:t>to document</w:t>
      </w:r>
      <w:r w:rsidR="00BA5D6B" w:rsidRPr="00530F17">
        <w:rPr>
          <w:rFonts w:ascii="Times New Roman" w:hAnsi="Times New Roman"/>
          <w:lang w:val="en-GB"/>
        </w:rPr>
        <w:t xml:space="preserve"> and to monitor</w:t>
      </w:r>
      <w:r w:rsidR="00A05EBF" w:rsidRPr="00933BD7">
        <w:rPr>
          <w:rFonts w:ascii="Times New Roman" w:hAnsi="Times New Roman"/>
          <w:lang w:val="en-GB"/>
        </w:rPr>
        <w:t>,</w:t>
      </w:r>
      <w:r w:rsidR="00A05EBF" w:rsidRPr="00530F17">
        <w:rPr>
          <w:rFonts w:ascii="Times New Roman" w:hAnsi="Times New Roman"/>
          <w:lang w:val="en-GB"/>
        </w:rPr>
        <w:t xml:space="preserve"> which makes it </w:t>
      </w:r>
      <w:r w:rsidR="00EB68D2" w:rsidRPr="00530F17">
        <w:rPr>
          <w:rFonts w:ascii="Times New Roman" w:hAnsi="Times New Roman"/>
          <w:lang w:val="en-GB"/>
        </w:rPr>
        <w:t xml:space="preserve">a very challenging task to implement a participation income in a functioning welfare state. Thus, it is </w:t>
      </w:r>
      <w:r w:rsidR="00BA5D6B" w:rsidRPr="00530F17">
        <w:rPr>
          <w:rFonts w:ascii="Times New Roman" w:hAnsi="Times New Roman"/>
          <w:lang w:val="en-GB"/>
        </w:rPr>
        <w:t xml:space="preserve">the very same </w:t>
      </w:r>
      <w:r w:rsidR="00EB68D2" w:rsidRPr="00530F17">
        <w:rPr>
          <w:rFonts w:ascii="Times New Roman" w:hAnsi="Times New Roman"/>
          <w:lang w:val="en-GB"/>
        </w:rPr>
        <w:t>feature that makes Atkin</w:t>
      </w:r>
      <w:r w:rsidR="00885AE4" w:rsidRPr="00530F17">
        <w:rPr>
          <w:rFonts w:ascii="Times New Roman" w:hAnsi="Times New Roman"/>
          <w:lang w:val="en-GB"/>
        </w:rPr>
        <w:t>son’s idea current and relevant</w:t>
      </w:r>
      <w:r w:rsidR="00EB68D2" w:rsidRPr="00530F17">
        <w:rPr>
          <w:rFonts w:ascii="Times New Roman" w:hAnsi="Times New Roman"/>
          <w:lang w:val="en-GB"/>
        </w:rPr>
        <w:t xml:space="preserve"> that also </w:t>
      </w:r>
      <w:r w:rsidR="00BB422B" w:rsidRPr="00530F17">
        <w:rPr>
          <w:rFonts w:ascii="Times New Roman" w:hAnsi="Times New Roman"/>
          <w:lang w:val="en-GB"/>
        </w:rPr>
        <w:t>create</w:t>
      </w:r>
      <w:r w:rsidR="00EC65FB">
        <w:rPr>
          <w:rFonts w:ascii="Times New Roman" w:hAnsi="Times New Roman"/>
          <w:lang w:val="en-GB"/>
        </w:rPr>
        <w:t>s</w:t>
      </w:r>
      <w:r w:rsidR="00BB422B" w:rsidRPr="00530F17">
        <w:rPr>
          <w:rFonts w:ascii="Times New Roman" w:hAnsi="Times New Roman"/>
          <w:lang w:val="en-GB"/>
        </w:rPr>
        <w:t xml:space="preserve"> obstacles to its implementation.</w:t>
      </w:r>
      <w:r w:rsidR="006C22AA">
        <w:rPr>
          <w:rFonts w:ascii="Times New Roman" w:hAnsi="Times New Roman"/>
          <w:vertAlign w:val="superscript"/>
          <w:lang w:val="en-GB"/>
        </w:rPr>
        <w:t>3</w:t>
      </w:r>
      <w:r w:rsidR="00BB422B" w:rsidRPr="00530F17">
        <w:rPr>
          <w:rFonts w:ascii="Times New Roman" w:hAnsi="Times New Roman"/>
          <w:lang w:val="en-GB"/>
        </w:rPr>
        <w:t xml:space="preserve"> </w:t>
      </w:r>
    </w:p>
    <w:p w14:paraId="67AFBF50" w14:textId="5A949F3E" w:rsidR="007C14EF" w:rsidRPr="00530F17" w:rsidRDefault="243A52D1" w:rsidP="00516E0F">
      <w:pPr>
        <w:spacing w:line="480" w:lineRule="auto"/>
        <w:ind w:firstLine="737"/>
        <w:rPr>
          <w:rFonts w:ascii="Times New Roman" w:hAnsi="Times New Roman"/>
          <w:lang w:val="en-GB"/>
        </w:rPr>
      </w:pPr>
      <w:r w:rsidRPr="00530F17">
        <w:rPr>
          <w:rFonts w:ascii="Times New Roman" w:hAnsi="Times New Roman"/>
          <w:lang w:val="en-GB"/>
        </w:rPr>
        <w:t xml:space="preserve">This articles studies how the idea of a participation income is introduced in four European countries: Denmark, Finland, Germany, and the Netherlands. These countries incorporated the idea </w:t>
      </w:r>
      <w:r w:rsidRPr="00530F17">
        <w:rPr>
          <w:rFonts w:ascii="Times New Roman" w:hAnsi="Times New Roman"/>
          <w:lang w:val="en-GB"/>
        </w:rPr>
        <w:lastRenderedPageBreak/>
        <w:t xml:space="preserve">of a participation income to different degrees, focusing on different aspects of Atkinson’s concept. The present article traces which aspects of the participation income were introduced, and which activities the choices highlight. The analysis is based on official documents including working group reports, government proposals and final legislative documents. It draws conclusions </w:t>
      </w:r>
      <w:r w:rsidR="00E16E4D">
        <w:rPr>
          <w:rFonts w:ascii="Times New Roman" w:hAnsi="Times New Roman"/>
          <w:lang w:val="en-GB"/>
        </w:rPr>
        <w:t xml:space="preserve">on the degree the countries have adopted ideas from Atkinson’s participation income by analysing </w:t>
      </w:r>
      <w:r w:rsidRPr="00530F17">
        <w:rPr>
          <w:rFonts w:ascii="Times New Roman" w:hAnsi="Times New Roman"/>
          <w:lang w:val="en-GB"/>
        </w:rPr>
        <w:t xml:space="preserve">which population groups are acknowledged by the choices made, and which population groups remain unacknowledged in their activities. These conclusions show which value profile governments possess, and which social cleavages persist in populations. Using these insights, the article presents a differentiated assessment of the opportunities of and constraints on implementing a participation income. </w:t>
      </w:r>
    </w:p>
    <w:p w14:paraId="41826E48" w14:textId="3D7B09B4" w:rsidR="243A52D1" w:rsidRPr="00530F17" w:rsidRDefault="243A52D1" w:rsidP="00516E0F">
      <w:pPr>
        <w:spacing w:line="480" w:lineRule="auto"/>
        <w:ind w:firstLine="737"/>
        <w:rPr>
          <w:rFonts w:ascii="Times New Roman" w:hAnsi="Times New Roman"/>
          <w:lang w:val="en-GB"/>
        </w:rPr>
      </w:pPr>
    </w:p>
    <w:p w14:paraId="3C1C6D1C" w14:textId="1809C9FC" w:rsidR="243A52D1" w:rsidRPr="00530F17" w:rsidRDefault="00B77A69" w:rsidP="00516E0F">
      <w:pPr>
        <w:spacing w:line="480" w:lineRule="auto"/>
        <w:rPr>
          <w:rFonts w:ascii="Times New Roman" w:hAnsi="Times New Roman"/>
          <w:b/>
          <w:lang w:val="en-GB"/>
        </w:rPr>
      </w:pPr>
      <w:r w:rsidRPr="00530F17">
        <w:rPr>
          <w:rFonts w:ascii="Times New Roman" w:hAnsi="Times New Roman"/>
          <w:b/>
          <w:lang w:val="en-GB"/>
        </w:rPr>
        <w:t xml:space="preserve">The participation income </w:t>
      </w:r>
      <w:r w:rsidR="00EB44E1">
        <w:rPr>
          <w:rFonts w:ascii="Times New Roman" w:hAnsi="Times New Roman"/>
          <w:b/>
          <w:bCs/>
          <w:lang w:val="en-GB"/>
        </w:rPr>
        <w:t>across</w:t>
      </w:r>
      <w:r w:rsidRPr="00530F17">
        <w:rPr>
          <w:rFonts w:ascii="Times New Roman" w:hAnsi="Times New Roman"/>
          <w:b/>
          <w:lang w:val="en-GB"/>
        </w:rPr>
        <w:t xml:space="preserve"> countries </w:t>
      </w:r>
    </w:p>
    <w:p w14:paraId="35E0B328" w14:textId="25130DB9" w:rsidR="14F6236C" w:rsidRPr="00530F17" w:rsidRDefault="00F270E8" w:rsidP="00516E0F">
      <w:pPr>
        <w:spacing w:line="480" w:lineRule="auto"/>
        <w:rPr>
          <w:rFonts w:ascii="Times New Roman" w:hAnsi="Times New Roman"/>
          <w:lang w:val="en-GB"/>
        </w:rPr>
      </w:pPr>
      <w:r>
        <w:rPr>
          <w:rFonts w:ascii="Times New Roman" w:eastAsia="Times New Roman" w:hAnsi="Times New Roman"/>
          <w:color w:val="000000" w:themeColor="text1"/>
          <w:lang w:val="en-GB"/>
        </w:rPr>
        <w:t>T</w:t>
      </w:r>
      <w:r w:rsidR="007521AB">
        <w:rPr>
          <w:rFonts w:ascii="Times New Roman" w:eastAsia="Times New Roman" w:hAnsi="Times New Roman"/>
          <w:color w:val="000000" w:themeColor="text1"/>
          <w:lang w:val="en-GB"/>
        </w:rPr>
        <w:t xml:space="preserve">he </w:t>
      </w:r>
      <w:r>
        <w:rPr>
          <w:rFonts w:ascii="Times New Roman" w:eastAsia="Times New Roman" w:hAnsi="Times New Roman"/>
          <w:color w:val="000000" w:themeColor="text1"/>
          <w:lang w:val="en-GB"/>
        </w:rPr>
        <w:t xml:space="preserve">idea of a </w:t>
      </w:r>
      <w:r w:rsidR="552DB059" w:rsidRPr="552DB059">
        <w:rPr>
          <w:rFonts w:ascii="Times New Roman" w:eastAsia="Times New Roman" w:hAnsi="Times New Roman"/>
          <w:color w:val="000000" w:themeColor="text1"/>
          <w:lang w:val="en-GB"/>
        </w:rPr>
        <w:t xml:space="preserve">participation income </w:t>
      </w:r>
      <w:r>
        <w:rPr>
          <w:rFonts w:ascii="Times New Roman" w:eastAsia="Times New Roman" w:hAnsi="Times New Roman"/>
          <w:color w:val="000000" w:themeColor="text1"/>
          <w:lang w:val="en-GB"/>
        </w:rPr>
        <w:t xml:space="preserve">is reflected in a </w:t>
      </w:r>
      <w:r w:rsidR="552DB059" w:rsidRPr="552DB059">
        <w:rPr>
          <w:rFonts w:ascii="Times New Roman" w:eastAsia="Times New Roman" w:hAnsi="Times New Roman"/>
          <w:color w:val="000000" w:themeColor="text1"/>
          <w:lang w:val="en-GB"/>
        </w:rPr>
        <w:t xml:space="preserve">series of </w:t>
      </w:r>
      <w:r w:rsidR="002E3F0B">
        <w:rPr>
          <w:rFonts w:ascii="Times New Roman" w:eastAsia="Times New Roman" w:hAnsi="Times New Roman"/>
          <w:color w:val="000000" w:themeColor="text1"/>
          <w:lang w:val="en-GB"/>
        </w:rPr>
        <w:t xml:space="preserve">European welfare state </w:t>
      </w:r>
      <w:r w:rsidR="552DB059" w:rsidRPr="552DB059">
        <w:rPr>
          <w:rFonts w:ascii="Times New Roman" w:eastAsia="Times New Roman" w:hAnsi="Times New Roman"/>
          <w:color w:val="000000" w:themeColor="text1"/>
          <w:lang w:val="en-GB"/>
        </w:rPr>
        <w:t xml:space="preserve">reforms since the 1990s. </w:t>
      </w:r>
      <w:r>
        <w:rPr>
          <w:rFonts w:ascii="Times New Roman" w:eastAsia="Times New Roman" w:hAnsi="Times New Roman"/>
          <w:color w:val="000000" w:themeColor="text1"/>
          <w:lang w:val="en-GB"/>
        </w:rPr>
        <w:t xml:space="preserve">These reforms </w:t>
      </w:r>
      <w:r w:rsidR="00EB44E1">
        <w:rPr>
          <w:rFonts w:ascii="Times New Roman" w:eastAsia="Times New Roman" w:hAnsi="Times New Roman"/>
          <w:color w:val="000000" w:themeColor="text1"/>
          <w:lang w:val="en-GB"/>
        </w:rPr>
        <w:t>called ‘</w:t>
      </w:r>
      <w:r w:rsidR="002716BD">
        <w:rPr>
          <w:rFonts w:ascii="Times New Roman" w:eastAsia="Times New Roman" w:hAnsi="Times New Roman"/>
          <w:color w:val="000000" w:themeColor="text1"/>
          <w:lang w:val="en-GB"/>
        </w:rPr>
        <w:t>Acti</w:t>
      </w:r>
      <w:r w:rsidR="002716BD" w:rsidRPr="00AE0A57">
        <w:rPr>
          <w:rFonts w:ascii="Times New Roman" w:eastAsia="Times New Roman" w:hAnsi="Times New Roman"/>
          <w:color w:val="000000" w:themeColor="text1"/>
          <w:lang w:val="en-GB"/>
        </w:rPr>
        <w:t xml:space="preserve">ve </w:t>
      </w:r>
      <w:r w:rsidR="00EB44E1" w:rsidRPr="00933BD7">
        <w:rPr>
          <w:rFonts w:ascii="Times New Roman" w:eastAsia="Times New Roman" w:hAnsi="Times New Roman"/>
          <w:color w:val="000000" w:themeColor="text1"/>
          <w:lang w:val="en-GB"/>
        </w:rPr>
        <w:t>labour market policies</w:t>
      </w:r>
      <w:r w:rsidR="00EB44E1">
        <w:rPr>
          <w:rFonts w:ascii="Times New Roman" w:eastAsia="Times New Roman" w:hAnsi="Times New Roman"/>
          <w:color w:val="000000" w:themeColor="text1"/>
          <w:lang w:val="en-GB"/>
        </w:rPr>
        <w:t>’</w:t>
      </w:r>
      <w:r w:rsidRPr="00AE0A57">
        <w:rPr>
          <w:rFonts w:ascii="Times New Roman" w:eastAsia="Times New Roman" w:hAnsi="Times New Roman"/>
          <w:color w:val="000000" w:themeColor="text1"/>
          <w:lang w:val="en-GB"/>
        </w:rPr>
        <w:t xml:space="preserve"> </w:t>
      </w:r>
      <w:r w:rsidR="002E3F0B" w:rsidRPr="00AE0A57">
        <w:rPr>
          <w:rFonts w:ascii="Times New Roman" w:eastAsia="Times New Roman" w:hAnsi="Times New Roman"/>
          <w:color w:val="000000" w:themeColor="text1"/>
          <w:lang w:val="en-GB"/>
        </w:rPr>
        <w:t xml:space="preserve">support social </w:t>
      </w:r>
      <w:r w:rsidR="00AE0A57" w:rsidRPr="00AE0A57">
        <w:rPr>
          <w:rFonts w:ascii="Times New Roman" w:eastAsia="Times New Roman" w:hAnsi="Times New Roman"/>
          <w:color w:val="000000" w:themeColor="text1"/>
          <w:lang w:val="en-GB"/>
        </w:rPr>
        <w:t>benefits</w:t>
      </w:r>
      <w:r w:rsidR="002E3F0B" w:rsidRPr="00AE0A57">
        <w:rPr>
          <w:rFonts w:ascii="Times New Roman" w:eastAsia="Times New Roman" w:hAnsi="Times New Roman"/>
          <w:color w:val="000000" w:themeColor="text1"/>
          <w:lang w:val="en-GB"/>
        </w:rPr>
        <w:t xml:space="preserve"> recipients to return to work</w:t>
      </w:r>
      <w:r w:rsidR="552DB059" w:rsidRPr="00AE0A57">
        <w:rPr>
          <w:rFonts w:ascii="Times New Roman" w:eastAsia="Times New Roman" w:hAnsi="Times New Roman"/>
          <w:color w:val="000000" w:themeColor="text1"/>
          <w:lang w:val="en-GB"/>
        </w:rPr>
        <w:t xml:space="preserve">. </w:t>
      </w:r>
      <w:r w:rsidRPr="00AE0A57">
        <w:rPr>
          <w:rFonts w:ascii="Times New Roman" w:eastAsia="Times New Roman" w:hAnsi="Times New Roman"/>
          <w:color w:val="000000" w:themeColor="text1"/>
          <w:lang w:val="en-GB"/>
        </w:rPr>
        <w:t xml:space="preserve">To reach this aim, they </w:t>
      </w:r>
      <w:r w:rsidR="00AE0A57" w:rsidRPr="00AE0A57">
        <w:rPr>
          <w:rFonts w:ascii="Times New Roman" w:eastAsia="Times New Roman" w:hAnsi="Times New Roman"/>
          <w:color w:val="000000" w:themeColor="text1"/>
          <w:lang w:val="en-GB"/>
        </w:rPr>
        <w:t xml:space="preserve">combine </w:t>
      </w:r>
      <w:r w:rsidR="552DB059" w:rsidRPr="00AE0A57">
        <w:rPr>
          <w:rFonts w:ascii="Times New Roman" w:eastAsia="Times New Roman" w:hAnsi="Times New Roman"/>
          <w:color w:val="000000" w:themeColor="text1"/>
          <w:lang w:val="en-GB"/>
        </w:rPr>
        <w:t>enabling instruments</w:t>
      </w:r>
      <w:r w:rsidR="00AE0A57" w:rsidRPr="00AE0A57">
        <w:rPr>
          <w:rFonts w:ascii="Times New Roman" w:eastAsia="Times New Roman" w:hAnsi="Times New Roman"/>
          <w:color w:val="000000" w:themeColor="text1"/>
          <w:lang w:val="en-GB"/>
        </w:rPr>
        <w:t xml:space="preserve"> with sanctions, for example </w:t>
      </w:r>
      <w:r w:rsidR="552DB059" w:rsidRPr="00AE0A57">
        <w:rPr>
          <w:rFonts w:ascii="Times New Roman" w:eastAsia="Times New Roman" w:hAnsi="Times New Roman"/>
          <w:color w:val="000000" w:themeColor="text1"/>
          <w:lang w:val="en-GB"/>
        </w:rPr>
        <w:t>employment and training services</w:t>
      </w:r>
      <w:r w:rsidR="00AE0A57" w:rsidRPr="00AE0A57">
        <w:rPr>
          <w:rFonts w:ascii="Times New Roman" w:eastAsia="Times New Roman" w:hAnsi="Times New Roman"/>
          <w:color w:val="000000" w:themeColor="text1"/>
          <w:lang w:val="en-GB"/>
        </w:rPr>
        <w:t xml:space="preserve"> with </w:t>
      </w:r>
      <w:r w:rsidR="552DB059" w:rsidRPr="00AE0A57">
        <w:rPr>
          <w:rFonts w:ascii="Times New Roman" w:eastAsia="Times New Roman" w:hAnsi="Times New Roman"/>
          <w:color w:val="000000" w:themeColor="text1"/>
          <w:lang w:val="en-GB"/>
        </w:rPr>
        <w:t>eligibility conditions and workfare practices</w:t>
      </w:r>
      <w:r w:rsidR="552DB059" w:rsidRPr="00933BD7">
        <w:rPr>
          <w:rFonts w:ascii="Times New Roman" w:eastAsia="Times New Roman" w:hAnsi="Times New Roman"/>
          <w:color w:val="000000" w:themeColor="text1"/>
          <w:lang w:val="en-GB"/>
        </w:rPr>
        <w:t>.</w:t>
      </w:r>
      <w:r w:rsidR="552DB059" w:rsidRPr="00AE0A57">
        <w:rPr>
          <w:rFonts w:ascii="Times New Roman" w:eastAsia="Times New Roman" w:hAnsi="Times New Roman"/>
          <w:color w:val="000000" w:themeColor="text1"/>
          <w:lang w:val="en-GB"/>
        </w:rPr>
        <w:t xml:space="preserve"> </w:t>
      </w:r>
      <w:r w:rsidR="002716BD" w:rsidRPr="00AE0A57">
        <w:rPr>
          <w:rFonts w:ascii="Times New Roman" w:eastAsia="Times New Roman" w:hAnsi="Times New Roman"/>
          <w:color w:val="000000" w:themeColor="text1"/>
          <w:lang w:val="en-GB"/>
        </w:rPr>
        <w:t>Although none of the co</w:t>
      </w:r>
      <w:r w:rsidR="002716BD">
        <w:rPr>
          <w:rFonts w:ascii="Times New Roman" w:eastAsia="Times New Roman" w:hAnsi="Times New Roman"/>
          <w:color w:val="000000" w:themeColor="text1"/>
          <w:lang w:val="en-GB"/>
        </w:rPr>
        <w:t xml:space="preserve">untries included in this study </w:t>
      </w:r>
      <w:r w:rsidR="002716BD" w:rsidRPr="00530F17">
        <w:rPr>
          <w:rFonts w:ascii="Times New Roman" w:hAnsi="Times New Roman"/>
          <w:lang w:val="en-GB"/>
        </w:rPr>
        <w:t>implemented the participation income in a pure way, like Atkinson suggested, all countries incorporated elements of a participation income into their Active Labour Market Polic</w:t>
      </w:r>
      <w:r w:rsidR="002E3F0B" w:rsidRPr="00530F17">
        <w:rPr>
          <w:rFonts w:ascii="Times New Roman" w:hAnsi="Times New Roman"/>
          <w:lang w:val="en-GB"/>
        </w:rPr>
        <w:t>ies</w:t>
      </w:r>
      <w:r w:rsidR="002716BD" w:rsidRPr="00933BD7">
        <w:rPr>
          <w:rFonts w:ascii="Times New Roman" w:eastAsia="Times New Roman" w:hAnsi="Times New Roman"/>
          <w:lang w:val="en-GB"/>
        </w:rPr>
        <w:t>.</w:t>
      </w:r>
      <w:r w:rsidR="002716BD" w:rsidRPr="00530F17">
        <w:rPr>
          <w:rFonts w:ascii="Times New Roman" w:hAnsi="Times New Roman"/>
          <w:lang w:val="en-GB"/>
        </w:rPr>
        <w:t xml:space="preserve"> </w:t>
      </w:r>
      <w:r w:rsidR="552DB059" w:rsidRPr="00530F17">
        <w:rPr>
          <w:rFonts w:ascii="Times New Roman" w:hAnsi="Times New Roman"/>
          <w:lang w:val="en-GB"/>
        </w:rPr>
        <w:t>Denmark, Finland, Germany and the Netherlands have a long history of Active Labour Market Polic</w:t>
      </w:r>
      <w:r w:rsidR="002E3F0B" w:rsidRPr="00530F17">
        <w:rPr>
          <w:rFonts w:ascii="Times New Roman" w:hAnsi="Times New Roman"/>
          <w:lang w:val="en-GB"/>
        </w:rPr>
        <w:t>ies</w:t>
      </w:r>
      <w:r w:rsidR="552DB059" w:rsidRPr="00530F17">
        <w:rPr>
          <w:rFonts w:ascii="Times New Roman" w:hAnsi="Times New Roman"/>
          <w:lang w:val="en-GB"/>
        </w:rPr>
        <w:t xml:space="preserve"> despite the fact that they </w:t>
      </w:r>
      <w:r w:rsidR="002E3F0B" w:rsidRPr="00530F17">
        <w:rPr>
          <w:rFonts w:ascii="Times New Roman" w:hAnsi="Times New Roman"/>
          <w:lang w:val="en-GB"/>
        </w:rPr>
        <w:t xml:space="preserve">represent </w:t>
      </w:r>
      <w:r w:rsidR="552DB059" w:rsidRPr="00530F17">
        <w:rPr>
          <w:rFonts w:ascii="Times New Roman" w:hAnsi="Times New Roman"/>
          <w:lang w:val="en-GB"/>
        </w:rPr>
        <w:t xml:space="preserve">different </w:t>
      </w:r>
      <w:r w:rsidR="002E3F0B" w:rsidRPr="00530F17">
        <w:rPr>
          <w:rFonts w:ascii="Times New Roman" w:hAnsi="Times New Roman"/>
          <w:lang w:val="en-GB"/>
        </w:rPr>
        <w:t xml:space="preserve">types of </w:t>
      </w:r>
      <w:r w:rsidR="552DB059" w:rsidRPr="00530F17">
        <w:rPr>
          <w:rFonts w:ascii="Times New Roman" w:hAnsi="Times New Roman"/>
          <w:lang w:val="en-GB"/>
        </w:rPr>
        <w:t>welfare state</w:t>
      </w:r>
      <w:r w:rsidR="00E16E4D">
        <w:rPr>
          <w:rFonts w:ascii="Times New Roman" w:hAnsi="Times New Roman"/>
          <w:lang w:val="en-GB"/>
        </w:rPr>
        <w:t>s</w:t>
      </w:r>
      <w:r w:rsidR="552DB059" w:rsidRPr="00530F17">
        <w:rPr>
          <w:rFonts w:ascii="Times New Roman" w:hAnsi="Times New Roman"/>
          <w:lang w:val="en-GB"/>
        </w:rPr>
        <w:t xml:space="preserve">. Denmark and Finland represent </w:t>
      </w:r>
      <w:r w:rsidR="002E3F0B" w:rsidRPr="00530F17">
        <w:rPr>
          <w:rFonts w:ascii="Times New Roman" w:hAnsi="Times New Roman"/>
          <w:lang w:val="en-GB"/>
        </w:rPr>
        <w:t xml:space="preserve">the encompassing </w:t>
      </w:r>
      <w:r w:rsidR="552DB059" w:rsidRPr="00530F17">
        <w:rPr>
          <w:rFonts w:ascii="Times New Roman" w:hAnsi="Times New Roman"/>
          <w:lang w:val="en-GB"/>
        </w:rPr>
        <w:t>soci</w:t>
      </w:r>
      <w:r w:rsidR="002E3F0B" w:rsidRPr="00530F17">
        <w:rPr>
          <w:rFonts w:ascii="Times New Roman" w:hAnsi="Times New Roman"/>
          <w:lang w:val="en-GB"/>
        </w:rPr>
        <w:t>al</w:t>
      </w:r>
      <w:r w:rsidR="552DB059" w:rsidRPr="00530F17">
        <w:rPr>
          <w:rFonts w:ascii="Times New Roman" w:hAnsi="Times New Roman"/>
          <w:lang w:val="en-GB"/>
        </w:rPr>
        <w:t xml:space="preserve">-democratic welfare state model while Germany is an example of </w:t>
      </w:r>
      <w:r w:rsidR="002E3F0B" w:rsidRPr="00530F17">
        <w:rPr>
          <w:rFonts w:ascii="Times New Roman" w:hAnsi="Times New Roman"/>
          <w:lang w:val="en-GB"/>
        </w:rPr>
        <w:t xml:space="preserve">the </w:t>
      </w:r>
      <w:r w:rsidR="552DB059" w:rsidRPr="00530F17">
        <w:rPr>
          <w:rFonts w:ascii="Times New Roman" w:hAnsi="Times New Roman"/>
          <w:lang w:val="en-GB"/>
        </w:rPr>
        <w:t xml:space="preserve">conservative </w:t>
      </w:r>
      <w:r w:rsidR="002E3F0B" w:rsidRPr="00530F17">
        <w:rPr>
          <w:rFonts w:ascii="Times New Roman" w:hAnsi="Times New Roman"/>
          <w:lang w:val="en-GB"/>
        </w:rPr>
        <w:t>type</w:t>
      </w:r>
      <w:r w:rsidR="552DB059" w:rsidRPr="00530F17">
        <w:rPr>
          <w:rFonts w:ascii="Times New Roman" w:hAnsi="Times New Roman"/>
          <w:lang w:val="en-GB"/>
        </w:rPr>
        <w:t>. The Dutch welfare state falls somewhere between the two</w:t>
      </w:r>
      <w:r w:rsidR="552DB059" w:rsidRPr="00933BD7">
        <w:rPr>
          <w:rFonts w:ascii="Times New Roman" w:eastAsia="Times New Roman" w:hAnsi="Times New Roman"/>
          <w:lang w:val="en-GB"/>
        </w:rPr>
        <w:t>.</w:t>
      </w:r>
      <w:r w:rsidR="007521AB" w:rsidRPr="00933BD7">
        <w:rPr>
          <w:rFonts w:ascii="Times New Roman" w:eastAsia="Times New Roman" w:hAnsi="Times New Roman"/>
          <w:lang w:val="en-GB"/>
        </w:rPr>
        <w:t xml:space="preserve"> </w:t>
      </w:r>
      <w:r w:rsidR="002716BD" w:rsidRPr="00530F17">
        <w:rPr>
          <w:rFonts w:ascii="Times New Roman" w:hAnsi="Times New Roman"/>
          <w:lang w:val="en-GB"/>
        </w:rPr>
        <w:t xml:space="preserve">The </w:t>
      </w:r>
      <w:r w:rsidR="00EB44E1">
        <w:rPr>
          <w:rFonts w:ascii="Times New Roman" w:eastAsia="Times New Roman" w:hAnsi="Times New Roman"/>
          <w:lang w:val="en-GB"/>
        </w:rPr>
        <w:t xml:space="preserve">following paragraphs describe how elements of the </w:t>
      </w:r>
      <w:r w:rsidR="002716BD" w:rsidRPr="00530F17">
        <w:rPr>
          <w:rFonts w:ascii="Times New Roman" w:hAnsi="Times New Roman"/>
          <w:lang w:val="en-GB"/>
        </w:rPr>
        <w:t xml:space="preserve">participation income in </w:t>
      </w:r>
      <w:r w:rsidR="00EB44E1">
        <w:rPr>
          <w:rFonts w:ascii="Times New Roman" w:eastAsia="Times New Roman" w:hAnsi="Times New Roman"/>
          <w:lang w:val="en-GB"/>
        </w:rPr>
        <w:t>each of these countries.</w:t>
      </w:r>
      <w:r w:rsidR="005F0D8A" w:rsidRPr="005F0D8A">
        <w:rPr>
          <w:rFonts w:ascii="Times New Roman" w:eastAsia="Times New Roman" w:hAnsi="Times New Roman"/>
          <w:vertAlign w:val="superscript"/>
          <w:lang w:val="en-GB"/>
        </w:rPr>
        <w:t>4</w:t>
      </w:r>
      <w:r w:rsidR="002716BD" w:rsidRPr="00530F17">
        <w:rPr>
          <w:rFonts w:ascii="Times New Roman" w:hAnsi="Times New Roman"/>
          <w:lang w:val="en-GB"/>
        </w:rPr>
        <w:t xml:space="preserve"> </w:t>
      </w:r>
    </w:p>
    <w:p w14:paraId="5A25BCB0" w14:textId="75F800F8" w:rsidR="14F6236C" w:rsidRPr="00530F17" w:rsidRDefault="00963706" w:rsidP="00530F17">
      <w:pPr>
        <w:spacing w:line="480" w:lineRule="auto"/>
        <w:ind w:firstLine="737"/>
        <w:rPr>
          <w:rFonts w:ascii="Times New Roman" w:hAnsi="Times New Roman"/>
          <w:color w:val="000000" w:themeColor="text1"/>
          <w:lang w:val="en-GB"/>
        </w:rPr>
      </w:pPr>
      <w:r w:rsidRPr="00530F17">
        <w:rPr>
          <w:rFonts w:ascii="Times New Roman" w:hAnsi="Times New Roman"/>
          <w:color w:val="000000" w:themeColor="text1"/>
          <w:lang w:val="en-GB"/>
        </w:rPr>
        <w:lastRenderedPageBreak/>
        <w:t>In the beginning of the 1990s,</w:t>
      </w:r>
      <w:r w:rsidRPr="00530F17">
        <w:rPr>
          <w:rFonts w:ascii="Times New Roman" w:hAnsi="Times New Roman"/>
          <w:b/>
          <w:color w:val="000000" w:themeColor="text1"/>
          <w:lang w:val="en-GB"/>
        </w:rPr>
        <w:t xml:space="preserve"> </w:t>
      </w:r>
      <w:r w:rsidR="552DB059" w:rsidRPr="552DB059">
        <w:rPr>
          <w:rFonts w:ascii="Times New Roman" w:eastAsia="Times New Roman" w:hAnsi="Times New Roman"/>
          <w:color w:val="000000" w:themeColor="text1"/>
          <w:lang w:val="en-GB"/>
        </w:rPr>
        <w:t>Denmark implemented a series of labour market reforms denoting a shift from passive to active labour market policies. T</w:t>
      </w:r>
      <w:r w:rsidR="552DB059" w:rsidRPr="00AE0A57">
        <w:rPr>
          <w:rFonts w:ascii="Times New Roman" w:eastAsia="Times New Roman" w:hAnsi="Times New Roman"/>
          <w:color w:val="000000" w:themeColor="text1"/>
          <w:lang w:val="en-GB"/>
        </w:rPr>
        <w:t xml:space="preserve">he reforms tightened </w:t>
      </w:r>
      <w:r w:rsidR="00AE0A57" w:rsidRPr="00AE0A57">
        <w:rPr>
          <w:rFonts w:ascii="Times New Roman" w:eastAsia="Times New Roman" w:hAnsi="Times New Roman"/>
          <w:color w:val="000000" w:themeColor="text1"/>
          <w:lang w:val="en-GB"/>
        </w:rPr>
        <w:t xml:space="preserve">the </w:t>
      </w:r>
      <w:r w:rsidR="552DB059" w:rsidRPr="00AE0A57">
        <w:rPr>
          <w:rFonts w:ascii="Times New Roman" w:eastAsia="Times New Roman" w:hAnsi="Times New Roman"/>
          <w:color w:val="000000" w:themeColor="text1"/>
          <w:lang w:val="en-GB"/>
        </w:rPr>
        <w:t xml:space="preserve">eligibility for unemployment benefits, </w:t>
      </w:r>
      <w:r w:rsidR="00AE0A57" w:rsidRPr="00AE0A57">
        <w:rPr>
          <w:rFonts w:ascii="Times New Roman" w:eastAsia="Times New Roman" w:hAnsi="Times New Roman"/>
          <w:color w:val="000000" w:themeColor="text1"/>
          <w:lang w:val="en-GB"/>
        </w:rPr>
        <w:t xml:space="preserve">decreased </w:t>
      </w:r>
      <w:r w:rsidR="552DB059" w:rsidRPr="00AE0A57">
        <w:rPr>
          <w:rFonts w:ascii="Times New Roman" w:eastAsia="Times New Roman" w:hAnsi="Times New Roman"/>
          <w:color w:val="000000" w:themeColor="text1"/>
          <w:lang w:val="en-GB"/>
        </w:rPr>
        <w:t>benefit period</w:t>
      </w:r>
      <w:r w:rsidR="00AE0A57" w:rsidRPr="00AE0A57">
        <w:rPr>
          <w:rFonts w:ascii="Times New Roman" w:eastAsia="Times New Roman" w:hAnsi="Times New Roman"/>
          <w:color w:val="000000" w:themeColor="text1"/>
          <w:lang w:val="en-GB"/>
        </w:rPr>
        <w:t>s</w:t>
      </w:r>
      <w:r w:rsidR="552DB059" w:rsidRPr="00AE0A57">
        <w:rPr>
          <w:rFonts w:ascii="Times New Roman" w:eastAsia="Times New Roman" w:hAnsi="Times New Roman"/>
          <w:color w:val="000000" w:themeColor="text1"/>
          <w:lang w:val="en-GB"/>
        </w:rPr>
        <w:t>, and introduced workfare elements into unemployment insurance</w:t>
      </w:r>
      <w:r w:rsidRPr="00AE0A57">
        <w:rPr>
          <w:rFonts w:ascii="Times New Roman" w:eastAsia="Times New Roman" w:hAnsi="Times New Roman"/>
          <w:color w:val="000000" w:themeColor="text1"/>
          <w:lang w:val="en-GB"/>
        </w:rPr>
        <w:t>s</w:t>
      </w:r>
      <w:r w:rsidR="552DB059" w:rsidRPr="00AE0A57">
        <w:rPr>
          <w:rFonts w:ascii="Times New Roman" w:eastAsia="Times New Roman" w:hAnsi="Times New Roman"/>
          <w:color w:val="000000" w:themeColor="text1"/>
          <w:lang w:val="en-GB"/>
        </w:rPr>
        <w:t xml:space="preserve"> and </w:t>
      </w:r>
      <w:r w:rsidR="00AE0A57" w:rsidRPr="00AE0A57">
        <w:rPr>
          <w:rFonts w:ascii="Times New Roman" w:eastAsia="Times New Roman" w:hAnsi="Times New Roman"/>
          <w:color w:val="000000" w:themeColor="text1"/>
          <w:lang w:val="en-GB"/>
        </w:rPr>
        <w:t xml:space="preserve">other </w:t>
      </w:r>
      <w:r w:rsidR="552DB059" w:rsidRPr="00AE0A57">
        <w:rPr>
          <w:rFonts w:ascii="Times New Roman" w:eastAsia="Times New Roman" w:hAnsi="Times New Roman"/>
          <w:color w:val="000000" w:themeColor="text1"/>
          <w:lang w:val="en-GB"/>
        </w:rPr>
        <w:t xml:space="preserve">social policies. The reforms emphasized reciprocity between the </w:t>
      </w:r>
      <w:r w:rsidRPr="00AE0A57">
        <w:rPr>
          <w:rFonts w:ascii="Times New Roman" w:eastAsia="Times New Roman" w:hAnsi="Times New Roman"/>
          <w:color w:val="000000" w:themeColor="text1"/>
          <w:lang w:val="en-GB"/>
        </w:rPr>
        <w:t xml:space="preserve">citizens </w:t>
      </w:r>
      <w:r w:rsidR="552DB059" w:rsidRPr="00AE0A57">
        <w:rPr>
          <w:rFonts w:ascii="Times New Roman" w:eastAsia="Times New Roman" w:hAnsi="Times New Roman"/>
          <w:color w:val="000000" w:themeColor="text1"/>
          <w:lang w:val="en-GB"/>
        </w:rPr>
        <w:t>and society</w:t>
      </w:r>
      <w:r w:rsidRPr="00AE0A57">
        <w:rPr>
          <w:rFonts w:ascii="Times New Roman" w:eastAsia="Times New Roman" w:hAnsi="Times New Roman"/>
          <w:color w:val="000000" w:themeColor="text1"/>
          <w:lang w:val="en-GB"/>
        </w:rPr>
        <w:t>,</w:t>
      </w:r>
      <w:r w:rsidR="552DB059" w:rsidRPr="00AE0A57">
        <w:rPr>
          <w:rFonts w:ascii="Times New Roman" w:eastAsia="Times New Roman" w:hAnsi="Times New Roman"/>
          <w:color w:val="000000" w:themeColor="text1"/>
          <w:lang w:val="en-GB"/>
        </w:rPr>
        <w:t xml:space="preserve"> which was coined </w:t>
      </w:r>
      <w:r w:rsidR="00AE0A57" w:rsidRPr="00AE0A57">
        <w:rPr>
          <w:rFonts w:ascii="Times New Roman" w:eastAsia="Times New Roman" w:hAnsi="Times New Roman"/>
          <w:color w:val="000000" w:themeColor="text1"/>
          <w:lang w:val="en-GB"/>
        </w:rPr>
        <w:t>a</w:t>
      </w:r>
      <w:r w:rsidR="001116CA">
        <w:rPr>
          <w:rFonts w:ascii="Times New Roman" w:eastAsia="Times New Roman" w:hAnsi="Times New Roman"/>
          <w:color w:val="000000" w:themeColor="text1"/>
          <w:lang w:val="en-GB"/>
        </w:rPr>
        <w:t>s a</w:t>
      </w:r>
      <w:r w:rsidR="00AE0A57" w:rsidRPr="00AE0A57">
        <w:rPr>
          <w:rFonts w:ascii="Times New Roman" w:eastAsia="Times New Roman" w:hAnsi="Times New Roman"/>
          <w:color w:val="000000" w:themeColor="text1"/>
          <w:lang w:val="en-GB"/>
        </w:rPr>
        <w:t xml:space="preserve"> </w:t>
      </w:r>
      <w:r w:rsidR="00EB44E1">
        <w:rPr>
          <w:rFonts w:ascii="Times New Roman" w:eastAsia="Times New Roman" w:hAnsi="Times New Roman"/>
          <w:color w:val="000000" w:themeColor="text1"/>
          <w:lang w:val="en-GB"/>
        </w:rPr>
        <w:t>‘</w:t>
      </w:r>
      <w:r w:rsidR="00AE0A57" w:rsidRPr="00AE0A57">
        <w:rPr>
          <w:rFonts w:ascii="Times New Roman" w:eastAsia="Times New Roman" w:hAnsi="Times New Roman"/>
          <w:color w:val="000000" w:themeColor="text1"/>
          <w:lang w:val="en-GB"/>
        </w:rPr>
        <w:t>right and duty</w:t>
      </w:r>
      <w:r w:rsidR="552DB059" w:rsidRPr="00AE0A57">
        <w:rPr>
          <w:rFonts w:ascii="Times New Roman" w:eastAsia="Times New Roman" w:hAnsi="Times New Roman"/>
          <w:color w:val="000000" w:themeColor="text1"/>
          <w:lang w:val="en-GB"/>
        </w:rPr>
        <w:t xml:space="preserve"> </w:t>
      </w:r>
      <w:r w:rsidR="552DB059" w:rsidRPr="00933BD7">
        <w:rPr>
          <w:rFonts w:ascii="Times New Roman" w:eastAsia="Times New Roman" w:hAnsi="Times New Roman"/>
          <w:color w:val="000000" w:themeColor="text1"/>
          <w:lang w:val="en-GB"/>
        </w:rPr>
        <w:t>principle</w:t>
      </w:r>
      <w:r w:rsidR="00EB44E1">
        <w:rPr>
          <w:rFonts w:ascii="Times New Roman" w:eastAsia="Times New Roman" w:hAnsi="Times New Roman"/>
          <w:color w:val="000000" w:themeColor="text1"/>
          <w:lang w:val="en-GB"/>
        </w:rPr>
        <w:t>’</w:t>
      </w:r>
      <w:r w:rsidR="552DB059" w:rsidRPr="00933BD7">
        <w:rPr>
          <w:rFonts w:ascii="Times New Roman" w:eastAsia="Times New Roman" w:hAnsi="Times New Roman"/>
          <w:color w:val="000000" w:themeColor="text1"/>
          <w:lang w:val="en-GB"/>
        </w:rPr>
        <w:t>.</w:t>
      </w:r>
      <w:r w:rsidR="552DB059" w:rsidRPr="00AE0A57">
        <w:rPr>
          <w:rFonts w:ascii="Times New Roman" w:eastAsia="Times New Roman" w:hAnsi="Times New Roman"/>
          <w:color w:val="000000" w:themeColor="text1"/>
          <w:lang w:val="en-GB"/>
        </w:rPr>
        <w:t xml:space="preserve"> The </w:t>
      </w:r>
      <w:r w:rsidR="00AE0A57" w:rsidRPr="00AE0A57">
        <w:rPr>
          <w:rFonts w:ascii="Times New Roman" w:eastAsia="Times New Roman" w:hAnsi="Times New Roman"/>
          <w:color w:val="000000" w:themeColor="text1"/>
          <w:lang w:val="en-GB"/>
        </w:rPr>
        <w:t xml:space="preserve">reasoning was that individuals had a right to income support as long as they were willing to work and actively searched for jobs. In return, society was obliged </w:t>
      </w:r>
      <w:r w:rsidR="552DB059" w:rsidRPr="00AE0A57">
        <w:rPr>
          <w:rFonts w:ascii="Times New Roman" w:eastAsia="Times New Roman" w:hAnsi="Times New Roman"/>
          <w:color w:val="000000" w:themeColor="text1"/>
          <w:lang w:val="en-GB"/>
        </w:rPr>
        <w:t xml:space="preserve">to </w:t>
      </w:r>
      <w:r w:rsidR="00AE0A57" w:rsidRPr="00AE0A57">
        <w:rPr>
          <w:rFonts w:ascii="Times New Roman" w:eastAsia="Times New Roman" w:hAnsi="Times New Roman"/>
          <w:color w:val="000000" w:themeColor="text1"/>
          <w:lang w:val="en-GB"/>
        </w:rPr>
        <w:t xml:space="preserve">assist </w:t>
      </w:r>
      <w:r w:rsidR="552DB059" w:rsidRPr="00AE0A57">
        <w:rPr>
          <w:rFonts w:ascii="Times New Roman" w:eastAsia="Times New Roman" w:hAnsi="Times New Roman"/>
          <w:color w:val="000000" w:themeColor="text1"/>
          <w:lang w:val="en-GB"/>
        </w:rPr>
        <w:t xml:space="preserve">job-seekers </w:t>
      </w:r>
      <w:r w:rsidR="00AE0A57" w:rsidRPr="00AE0A57">
        <w:rPr>
          <w:rFonts w:ascii="Times New Roman" w:eastAsia="Times New Roman" w:hAnsi="Times New Roman"/>
          <w:color w:val="000000" w:themeColor="text1"/>
          <w:lang w:val="en-GB"/>
        </w:rPr>
        <w:t xml:space="preserve">in </w:t>
      </w:r>
      <w:r w:rsidR="552DB059" w:rsidRPr="00AE0A57">
        <w:rPr>
          <w:rFonts w:ascii="Times New Roman" w:eastAsia="Times New Roman" w:hAnsi="Times New Roman"/>
          <w:color w:val="000000" w:themeColor="text1"/>
          <w:lang w:val="en-GB"/>
        </w:rPr>
        <w:t>improv</w:t>
      </w:r>
      <w:r w:rsidR="00AE0A57" w:rsidRPr="00AE0A57">
        <w:rPr>
          <w:rFonts w:ascii="Times New Roman" w:eastAsia="Times New Roman" w:hAnsi="Times New Roman"/>
          <w:color w:val="000000" w:themeColor="text1"/>
          <w:lang w:val="en-GB"/>
        </w:rPr>
        <w:t>ing</w:t>
      </w:r>
      <w:r w:rsidR="552DB059" w:rsidRPr="00AE0A57">
        <w:rPr>
          <w:rFonts w:ascii="Times New Roman" w:eastAsia="Times New Roman" w:hAnsi="Times New Roman"/>
          <w:color w:val="000000" w:themeColor="text1"/>
          <w:lang w:val="en-GB"/>
        </w:rPr>
        <w:t xml:space="preserve"> their job prospects. </w:t>
      </w:r>
      <w:r w:rsidR="007E320F">
        <w:rPr>
          <w:rFonts w:ascii="Times New Roman" w:eastAsia="Times New Roman" w:hAnsi="Times New Roman"/>
          <w:color w:val="000000" w:themeColor="text1"/>
          <w:lang w:val="en-GB"/>
        </w:rPr>
        <w:t>To implement these ideas, the municipalities received a spectrum of laws, tools and initiatives that they could use to reintegrate the unemployed into work or into education</w:t>
      </w:r>
      <w:r w:rsidR="001116CA">
        <w:rPr>
          <w:rFonts w:ascii="Times New Roman" w:eastAsia="Times New Roman" w:hAnsi="Times New Roman"/>
          <w:color w:val="000000" w:themeColor="text1"/>
          <w:lang w:val="en-GB"/>
        </w:rPr>
        <w:t xml:space="preserve"> or training</w:t>
      </w:r>
      <w:r w:rsidR="007E320F">
        <w:rPr>
          <w:rFonts w:ascii="Times New Roman" w:eastAsia="Times New Roman" w:hAnsi="Times New Roman"/>
          <w:color w:val="000000" w:themeColor="text1"/>
          <w:lang w:val="en-GB"/>
        </w:rPr>
        <w:t xml:space="preserve">. The main goals are to reintegrate the unemployed into the labour market as fast as possible and to maintain the workforce needed within Denmark. </w:t>
      </w:r>
      <w:r w:rsidR="001116CA">
        <w:rPr>
          <w:rFonts w:ascii="Times New Roman" w:eastAsia="Times New Roman" w:hAnsi="Times New Roman"/>
          <w:color w:val="000000" w:themeColor="text1"/>
          <w:lang w:val="en-GB"/>
        </w:rPr>
        <w:t xml:space="preserve">As a part of the reform labour market regulation was dismantled making it easier to “fire and hire”. </w:t>
      </w:r>
      <w:r w:rsidR="007E320F">
        <w:rPr>
          <w:rFonts w:ascii="Times New Roman" w:eastAsia="Times New Roman" w:hAnsi="Times New Roman"/>
          <w:color w:val="000000" w:themeColor="text1"/>
          <w:lang w:val="en-GB"/>
        </w:rPr>
        <w:t xml:space="preserve">Because of its combination of flexible regulations with social security, the Danish model is coined </w:t>
      </w:r>
      <w:r w:rsidR="00EB44E1">
        <w:rPr>
          <w:rFonts w:ascii="Times New Roman" w:eastAsia="Times New Roman" w:hAnsi="Times New Roman"/>
          <w:color w:val="000000" w:themeColor="text1"/>
          <w:lang w:val="en-GB"/>
        </w:rPr>
        <w:t>‘</w:t>
      </w:r>
      <w:r w:rsidR="007E320F" w:rsidRPr="00933BD7">
        <w:rPr>
          <w:rFonts w:ascii="Times New Roman" w:eastAsia="Times New Roman" w:hAnsi="Times New Roman"/>
          <w:color w:val="000000" w:themeColor="text1"/>
          <w:lang w:val="en-GB"/>
        </w:rPr>
        <w:t>flexicurity</w:t>
      </w:r>
      <w:r w:rsidR="00EB44E1">
        <w:rPr>
          <w:rFonts w:ascii="Times New Roman" w:eastAsia="Times New Roman" w:hAnsi="Times New Roman"/>
          <w:color w:val="000000" w:themeColor="text1"/>
          <w:lang w:val="en-GB"/>
        </w:rPr>
        <w:t>’</w:t>
      </w:r>
      <w:r w:rsidR="552DB059" w:rsidRPr="00933BD7">
        <w:rPr>
          <w:rFonts w:ascii="Times New Roman" w:eastAsia="Times New Roman" w:hAnsi="Times New Roman"/>
          <w:color w:val="000000" w:themeColor="text1"/>
          <w:lang w:val="en-GB"/>
        </w:rPr>
        <w:t>.</w:t>
      </w:r>
      <w:r w:rsidR="00926909" w:rsidRPr="00926909">
        <w:rPr>
          <w:rFonts w:ascii="Times New Roman" w:eastAsia="Times New Roman" w:hAnsi="Times New Roman"/>
          <w:color w:val="000000" w:themeColor="text1"/>
          <w:vertAlign w:val="superscript"/>
          <w:lang w:val="en-GB"/>
        </w:rPr>
        <w:t>5</w:t>
      </w:r>
    </w:p>
    <w:p w14:paraId="14A4DF5B" w14:textId="3796E9AB" w:rsidR="001C59F0" w:rsidRPr="00530F17" w:rsidRDefault="552DB059" w:rsidP="005F0D8A">
      <w:pPr>
        <w:spacing w:line="480" w:lineRule="auto"/>
        <w:ind w:firstLine="737"/>
        <w:rPr>
          <w:lang w:val="en-US"/>
        </w:rPr>
      </w:pPr>
      <w:r w:rsidRPr="00530F17">
        <w:rPr>
          <w:rFonts w:ascii="Times New Roman" w:hAnsi="Times New Roman"/>
          <w:color w:val="000000" w:themeColor="text1"/>
          <w:lang w:val="en-GB"/>
        </w:rPr>
        <w:t>S</w:t>
      </w:r>
      <w:r w:rsidRPr="552DB059">
        <w:rPr>
          <w:rFonts w:ascii="Times New Roman" w:eastAsia="Times New Roman" w:hAnsi="Times New Roman"/>
          <w:color w:val="000000" w:themeColor="text1"/>
          <w:lang w:val="en-GB"/>
        </w:rPr>
        <w:t xml:space="preserve">ince the mid 1990’s, the Finnish public discourse </w:t>
      </w:r>
      <w:r w:rsidR="00224D09">
        <w:rPr>
          <w:rFonts w:ascii="Times New Roman" w:eastAsia="Times New Roman" w:hAnsi="Times New Roman"/>
          <w:color w:val="000000" w:themeColor="text1"/>
          <w:lang w:val="en-GB"/>
        </w:rPr>
        <w:t xml:space="preserve">promoted the idea of activation with </w:t>
      </w:r>
      <w:r w:rsidRPr="552DB059">
        <w:rPr>
          <w:rFonts w:ascii="Times New Roman" w:eastAsia="Times New Roman" w:hAnsi="Times New Roman"/>
          <w:color w:val="000000" w:themeColor="text1"/>
          <w:lang w:val="en-GB"/>
        </w:rPr>
        <w:t xml:space="preserve">the catch phrase </w:t>
      </w:r>
      <w:r w:rsidR="00EB44E1">
        <w:rPr>
          <w:rFonts w:ascii="Times New Roman" w:eastAsia="Times New Roman" w:hAnsi="Times New Roman"/>
          <w:color w:val="000000" w:themeColor="text1"/>
          <w:lang w:val="en-GB"/>
        </w:rPr>
        <w:t>‘</w:t>
      </w:r>
      <w:r w:rsidRPr="552DB059">
        <w:rPr>
          <w:rFonts w:ascii="Times New Roman" w:eastAsia="Times New Roman" w:hAnsi="Times New Roman"/>
          <w:color w:val="000000" w:themeColor="text1"/>
          <w:lang w:val="en-GB"/>
        </w:rPr>
        <w:t xml:space="preserve">work is the best social </w:t>
      </w:r>
      <w:r w:rsidRPr="00933BD7">
        <w:rPr>
          <w:rFonts w:ascii="Times New Roman" w:eastAsia="Times New Roman" w:hAnsi="Times New Roman"/>
          <w:color w:val="000000" w:themeColor="text1"/>
          <w:lang w:val="en-GB"/>
        </w:rPr>
        <w:t>security</w:t>
      </w:r>
      <w:r w:rsidR="00EB44E1">
        <w:rPr>
          <w:rFonts w:ascii="Times New Roman" w:eastAsia="Times New Roman" w:hAnsi="Times New Roman"/>
          <w:color w:val="000000" w:themeColor="text1"/>
          <w:lang w:val="en-GB"/>
        </w:rPr>
        <w:t>’</w:t>
      </w:r>
      <w:r w:rsidRPr="00933BD7">
        <w:rPr>
          <w:rFonts w:ascii="Times New Roman" w:eastAsia="Times New Roman" w:hAnsi="Times New Roman"/>
          <w:color w:val="000000" w:themeColor="text1"/>
          <w:lang w:val="en-GB"/>
        </w:rPr>
        <w:t>.</w:t>
      </w:r>
      <w:r w:rsidRPr="552DB059">
        <w:rPr>
          <w:rFonts w:ascii="Times New Roman" w:eastAsia="Times New Roman" w:hAnsi="Times New Roman"/>
          <w:color w:val="000000" w:themeColor="text1"/>
          <w:lang w:val="en-GB"/>
        </w:rPr>
        <w:t xml:space="preserve"> </w:t>
      </w:r>
      <w:r w:rsidR="00784B05">
        <w:rPr>
          <w:rFonts w:ascii="Times New Roman" w:eastAsia="Times New Roman" w:hAnsi="Times New Roman"/>
          <w:color w:val="000000" w:themeColor="text1"/>
          <w:lang w:val="en-GB"/>
        </w:rPr>
        <w:t>T</w:t>
      </w:r>
      <w:r w:rsidRPr="552DB059">
        <w:rPr>
          <w:rFonts w:ascii="Times New Roman" w:eastAsia="Times New Roman" w:hAnsi="Times New Roman"/>
          <w:color w:val="000000" w:themeColor="text1"/>
          <w:lang w:val="en-GB"/>
        </w:rPr>
        <w:t>he Finnish activation policies emphasize the unemployed person</w:t>
      </w:r>
      <w:r w:rsidR="00224D09">
        <w:rPr>
          <w:rFonts w:ascii="Times New Roman" w:eastAsia="Times New Roman" w:hAnsi="Times New Roman"/>
          <w:color w:val="000000" w:themeColor="text1"/>
          <w:lang w:val="en-GB"/>
        </w:rPr>
        <w:t>s’</w:t>
      </w:r>
      <w:r w:rsidRPr="552DB059">
        <w:rPr>
          <w:rFonts w:ascii="Times New Roman" w:eastAsia="Times New Roman" w:hAnsi="Times New Roman"/>
          <w:color w:val="000000" w:themeColor="text1"/>
          <w:lang w:val="en-GB"/>
        </w:rPr>
        <w:t xml:space="preserve"> skills</w:t>
      </w:r>
      <w:r w:rsidR="00784B05">
        <w:rPr>
          <w:rFonts w:ascii="Times New Roman" w:eastAsia="Times New Roman" w:hAnsi="Times New Roman"/>
          <w:color w:val="000000" w:themeColor="text1"/>
          <w:lang w:val="en-GB"/>
        </w:rPr>
        <w:t xml:space="preserve"> </w:t>
      </w:r>
      <w:r w:rsidRPr="552DB059">
        <w:rPr>
          <w:rFonts w:ascii="Times New Roman" w:eastAsia="Times New Roman" w:hAnsi="Times New Roman"/>
          <w:color w:val="000000" w:themeColor="text1"/>
          <w:lang w:val="en-GB"/>
        </w:rPr>
        <w:t>and motivation</w:t>
      </w:r>
      <w:r w:rsidR="00CC3302">
        <w:rPr>
          <w:rFonts w:ascii="Times New Roman" w:eastAsia="Times New Roman" w:hAnsi="Times New Roman"/>
          <w:color w:val="000000" w:themeColor="text1"/>
          <w:lang w:val="en-GB"/>
        </w:rPr>
        <w:t xml:space="preserve"> and they </w:t>
      </w:r>
      <w:r w:rsidR="00784B05">
        <w:rPr>
          <w:rFonts w:ascii="Times New Roman" w:eastAsia="Times New Roman" w:hAnsi="Times New Roman"/>
          <w:color w:val="000000" w:themeColor="text1"/>
          <w:lang w:val="en-GB"/>
        </w:rPr>
        <w:t xml:space="preserve">justify activation through </w:t>
      </w:r>
      <w:r w:rsidRPr="552DB059">
        <w:rPr>
          <w:rFonts w:ascii="Times New Roman" w:eastAsia="Times New Roman" w:hAnsi="Times New Roman"/>
          <w:color w:val="000000" w:themeColor="text1"/>
          <w:lang w:val="en-GB"/>
        </w:rPr>
        <w:t>reciprocity, mak</w:t>
      </w:r>
      <w:r w:rsidR="00784B05">
        <w:rPr>
          <w:rFonts w:ascii="Times New Roman" w:eastAsia="Times New Roman" w:hAnsi="Times New Roman"/>
          <w:color w:val="000000" w:themeColor="text1"/>
          <w:lang w:val="en-GB"/>
        </w:rPr>
        <w:t>ing the</w:t>
      </w:r>
      <w:r w:rsidRPr="552DB059">
        <w:rPr>
          <w:rFonts w:ascii="Times New Roman" w:eastAsia="Times New Roman" w:hAnsi="Times New Roman"/>
          <w:color w:val="000000" w:themeColor="text1"/>
          <w:lang w:val="en-GB"/>
        </w:rPr>
        <w:t xml:space="preserve"> participation in activation measures a norm and moral responsibility</w:t>
      </w:r>
      <w:r w:rsidRPr="00933BD7">
        <w:rPr>
          <w:rFonts w:ascii="Times New Roman" w:eastAsia="Times New Roman" w:hAnsi="Times New Roman"/>
          <w:color w:val="000000" w:themeColor="text1"/>
          <w:lang w:val="en-GB"/>
        </w:rPr>
        <w:t>.</w:t>
      </w:r>
      <w:r w:rsidRPr="552DB059">
        <w:rPr>
          <w:rFonts w:ascii="Times New Roman" w:eastAsia="Times New Roman" w:hAnsi="Times New Roman"/>
          <w:color w:val="000000" w:themeColor="text1"/>
          <w:lang w:val="en-GB"/>
        </w:rPr>
        <w:t xml:space="preserve"> </w:t>
      </w:r>
      <w:r w:rsidR="00CC3302">
        <w:rPr>
          <w:rFonts w:ascii="Times New Roman" w:eastAsia="Times New Roman" w:hAnsi="Times New Roman"/>
          <w:color w:val="000000" w:themeColor="text1"/>
          <w:lang w:val="en-GB"/>
        </w:rPr>
        <w:t xml:space="preserve">In 2001, the </w:t>
      </w:r>
      <w:r w:rsidRPr="552DB059">
        <w:rPr>
          <w:rFonts w:ascii="Times New Roman" w:eastAsia="Times New Roman" w:hAnsi="Times New Roman"/>
          <w:color w:val="000000" w:themeColor="text1"/>
          <w:lang w:val="en-GB"/>
        </w:rPr>
        <w:t>Rehabilitative Work Act</w:t>
      </w:r>
      <w:r w:rsidR="007E320F">
        <w:rPr>
          <w:rFonts w:ascii="Times New Roman" w:eastAsia="Times New Roman" w:hAnsi="Times New Roman"/>
          <w:color w:val="000000" w:themeColor="text1"/>
          <w:lang w:val="en-GB"/>
        </w:rPr>
        <w:t xml:space="preserve"> was introduced in an effort to re-integrate the long-term unemployed into the labour market and to improve their life management skills</w:t>
      </w:r>
      <w:r w:rsidR="007E320F" w:rsidRPr="007E320F">
        <w:rPr>
          <w:rFonts w:ascii="Times New Roman" w:eastAsia="Times New Roman" w:hAnsi="Times New Roman"/>
          <w:color w:val="000000" w:themeColor="text1"/>
          <w:lang w:val="en-GB"/>
        </w:rPr>
        <w:t xml:space="preserve">. </w:t>
      </w:r>
      <w:r w:rsidRPr="552DB059">
        <w:rPr>
          <w:rFonts w:ascii="Times New Roman" w:eastAsia="Times New Roman" w:hAnsi="Times New Roman"/>
          <w:color w:val="000000" w:themeColor="text1"/>
          <w:lang w:val="en-GB"/>
        </w:rPr>
        <w:t>Between 2008 and 2013</w:t>
      </w:r>
      <w:r w:rsidR="00CC3302">
        <w:rPr>
          <w:rFonts w:ascii="Times New Roman" w:eastAsia="Times New Roman" w:hAnsi="Times New Roman"/>
          <w:color w:val="000000" w:themeColor="text1"/>
          <w:lang w:val="en-GB"/>
        </w:rPr>
        <w:t>,</w:t>
      </w:r>
      <w:r w:rsidRPr="552DB059">
        <w:rPr>
          <w:rFonts w:ascii="Times New Roman" w:eastAsia="Times New Roman" w:hAnsi="Times New Roman"/>
          <w:color w:val="000000" w:themeColor="text1"/>
          <w:lang w:val="en-GB"/>
        </w:rPr>
        <w:t xml:space="preserve"> the government piloted a full employment model in </w:t>
      </w:r>
      <w:r w:rsidR="00CC3302">
        <w:rPr>
          <w:rFonts w:ascii="Times New Roman" w:eastAsia="Times New Roman" w:hAnsi="Times New Roman"/>
          <w:color w:val="000000" w:themeColor="text1"/>
          <w:lang w:val="en-GB"/>
        </w:rPr>
        <w:t xml:space="preserve">the </w:t>
      </w:r>
      <w:r w:rsidRPr="552DB059">
        <w:rPr>
          <w:rFonts w:ascii="Times New Roman" w:eastAsia="Times New Roman" w:hAnsi="Times New Roman"/>
          <w:color w:val="000000" w:themeColor="text1"/>
          <w:lang w:val="en-GB"/>
        </w:rPr>
        <w:t>municipality of Paltamo, where all unemployed person where guaranteed work with minimum salary.</w:t>
      </w:r>
      <w:r w:rsidR="007E320F">
        <w:rPr>
          <w:rFonts w:ascii="Times New Roman" w:eastAsia="Times New Roman" w:hAnsi="Times New Roman"/>
          <w:color w:val="000000" w:themeColor="text1"/>
          <w:lang w:val="en-GB"/>
        </w:rPr>
        <w:t xml:space="preserve"> However, the participants </w:t>
      </w:r>
      <w:r w:rsidR="001116CA">
        <w:rPr>
          <w:rFonts w:ascii="Times New Roman" w:eastAsia="Times New Roman" w:hAnsi="Times New Roman"/>
          <w:color w:val="000000" w:themeColor="text1"/>
          <w:lang w:val="en-GB"/>
        </w:rPr>
        <w:t>did not succeed in finding jobs</w:t>
      </w:r>
      <w:r w:rsidR="007E320F">
        <w:rPr>
          <w:rFonts w:ascii="Times New Roman" w:eastAsia="Times New Roman" w:hAnsi="Times New Roman"/>
          <w:color w:val="000000" w:themeColor="text1"/>
          <w:lang w:val="en-GB"/>
        </w:rPr>
        <w:t xml:space="preserve"> in the open labour market and the municipality failed to create new jobs</w:t>
      </w:r>
      <w:r w:rsidRPr="00933BD7">
        <w:rPr>
          <w:rFonts w:ascii="Times New Roman" w:eastAsia="Times New Roman" w:hAnsi="Times New Roman"/>
          <w:color w:val="000000" w:themeColor="text1"/>
          <w:lang w:val="en-GB"/>
        </w:rPr>
        <w:t>.</w:t>
      </w:r>
      <w:r w:rsidRPr="552DB059">
        <w:rPr>
          <w:rFonts w:ascii="Times New Roman" w:eastAsia="Times New Roman" w:hAnsi="Times New Roman"/>
          <w:color w:val="000000" w:themeColor="text1"/>
          <w:lang w:val="en-GB"/>
        </w:rPr>
        <w:t xml:space="preserve"> The idea of </w:t>
      </w:r>
      <w:r w:rsidR="0056092B">
        <w:rPr>
          <w:rFonts w:ascii="Times New Roman" w:eastAsia="Times New Roman" w:hAnsi="Times New Roman"/>
          <w:color w:val="000000" w:themeColor="text1"/>
          <w:lang w:val="en-GB"/>
        </w:rPr>
        <w:t xml:space="preserve">a </w:t>
      </w:r>
      <w:r w:rsidRPr="552DB059">
        <w:rPr>
          <w:rFonts w:ascii="Times New Roman" w:eastAsia="Times New Roman" w:hAnsi="Times New Roman"/>
          <w:color w:val="000000" w:themeColor="text1"/>
          <w:lang w:val="en-GB"/>
        </w:rPr>
        <w:t xml:space="preserve">participation income </w:t>
      </w:r>
      <w:r w:rsidR="0056092B">
        <w:rPr>
          <w:rFonts w:ascii="Times New Roman" w:eastAsia="Times New Roman" w:hAnsi="Times New Roman"/>
          <w:color w:val="000000" w:themeColor="text1"/>
          <w:lang w:val="en-GB"/>
        </w:rPr>
        <w:t>re</w:t>
      </w:r>
      <w:r w:rsidRPr="552DB059">
        <w:rPr>
          <w:rFonts w:ascii="Times New Roman" w:eastAsia="Times New Roman" w:hAnsi="Times New Roman"/>
          <w:color w:val="000000" w:themeColor="text1"/>
          <w:lang w:val="en-GB"/>
        </w:rPr>
        <w:t xml:space="preserve">surfaced </w:t>
      </w:r>
      <w:r w:rsidR="0056092B">
        <w:rPr>
          <w:rFonts w:ascii="Times New Roman" w:eastAsia="Times New Roman" w:hAnsi="Times New Roman"/>
          <w:color w:val="000000" w:themeColor="text1"/>
          <w:lang w:val="en-GB"/>
        </w:rPr>
        <w:t xml:space="preserve">in the </w:t>
      </w:r>
      <w:r w:rsidRPr="552DB059">
        <w:rPr>
          <w:rFonts w:ascii="Times New Roman" w:eastAsia="Times New Roman" w:hAnsi="Times New Roman"/>
          <w:color w:val="000000" w:themeColor="text1"/>
          <w:lang w:val="en-GB"/>
        </w:rPr>
        <w:t xml:space="preserve">inclusive social security </w:t>
      </w:r>
      <w:r w:rsidR="003932CE">
        <w:rPr>
          <w:rFonts w:ascii="Times New Roman" w:eastAsia="Times New Roman" w:hAnsi="Times New Roman"/>
          <w:color w:val="000000" w:themeColor="text1"/>
          <w:lang w:val="en-GB"/>
        </w:rPr>
        <w:t>model, which was piloted in six municipalities in 2014.</w:t>
      </w:r>
      <w:r w:rsidRPr="552DB059">
        <w:rPr>
          <w:rFonts w:ascii="Times New Roman" w:eastAsia="Times New Roman" w:hAnsi="Times New Roman"/>
          <w:color w:val="000000" w:themeColor="text1"/>
          <w:lang w:val="en-GB"/>
        </w:rPr>
        <w:t xml:space="preserve"> </w:t>
      </w:r>
      <w:r w:rsidR="0056092B">
        <w:rPr>
          <w:rFonts w:ascii="Times New Roman" w:eastAsia="Times New Roman" w:hAnsi="Times New Roman"/>
          <w:color w:val="000000" w:themeColor="text1"/>
          <w:lang w:val="en-GB"/>
        </w:rPr>
        <w:t xml:space="preserve">This </w:t>
      </w:r>
      <w:r w:rsidR="003932CE">
        <w:rPr>
          <w:rFonts w:ascii="Times New Roman" w:eastAsia="Times New Roman" w:hAnsi="Times New Roman"/>
          <w:color w:val="000000" w:themeColor="text1"/>
          <w:lang w:val="en-GB"/>
        </w:rPr>
        <w:t xml:space="preserve">model </w:t>
      </w:r>
      <w:r w:rsidRPr="552DB059">
        <w:rPr>
          <w:rFonts w:ascii="Times New Roman" w:eastAsia="Times New Roman" w:hAnsi="Times New Roman"/>
          <w:color w:val="000000" w:themeColor="text1"/>
          <w:lang w:val="en-GB"/>
        </w:rPr>
        <w:t>offer</w:t>
      </w:r>
      <w:r w:rsidR="0056092B">
        <w:rPr>
          <w:rFonts w:ascii="Times New Roman" w:eastAsia="Times New Roman" w:hAnsi="Times New Roman"/>
          <w:color w:val="000000" w:themeColor="text1"/>
          <w:lang w:val="en-GB"/>
        </w:rPr>
        <w:t>s</w:t>
      </w:r>
      <w:r w:rsidRPr="552DB059">
        <w:rPr>
          <w:rFonts w:ascii="Times New Roman" w:eastAsia="Times New Roman" w:hAnsi="Times New Roman"/>
          <w:color w:val="000000" w:themeColor="text1"/>
          <w:lang w:val="en-GB"/>
        </w:rPr>
        <w:t xml:space="preserve"> work-related activities </w:t>
      </w:r>
      <w:r w:rsidR="003932CE">
        <w:rPr>
          <w:rFonts w:ascii="Times New Roman" w:eastAsia="Times New Roman" w:hAnsi="Times New Roman"/>
          <w:color w:val="000000" w:themeColor="text1"/>
          <w:lang w:val="en-GB"/>
        </w:rPr>
        <w:t xml:space="preserve">to </w:t>
      </w:r>
      <w:r w:rsidR="0056092B">
        <w:rPr>
          <w:rFonts w:ascii="Times New Roman" w:eastAsia="Times New Roman" w:hAnsi="Times New Roman"/>
          <w:color w:val="000000" w:themeColor="text1"/>
          <w:lang w:val="en-GB"/>
        </w:rPr>
        <w:t xml:space="preserve">the </w:t>
      </w:r>
      <w:r w:rsidRPr="552DB059">
        <w:rPr>
          <w:rFonts w:ascii="Times New Roman" w:eastAsia="Times New Roman" w:hAnsi="Times New Roman"/>
          <w:color w:val="000000" w:themeColor="text1"/>
          <w:lang w:val="en-GB"/>
        </w:rPr>
        <w:t>long-term unemployed</w:t>
      </w:r>
      <w:r w:rsidR="003932CE">
        <w:rPr>
          <w:rFonts w:ascii="Times New Roman" w:eastAsia="Times New Roman" w:hAnsi="Times New Roman"/>
          <w:color w:val="000000" w:themeColor="text1"/>
          <w:lang w:val="en-GB"/>
        </w:rPr>
        <w:t xml:space="preserve">, stating that such </w:t>
      </w:r>
      <w:r w:rsidRPr="552DB059">
        <w:rPr>
          <w:rFonts w:ascii="Times New Roman" w:eastAsia="Times New Roman" w:hAnsi="Times New Roman"/>
          <w:color w:val="000000" w:themeColor="text1"/>
          <w:lang w:val="en-GB"/>
        </w:rPr>
        <w:t>activit</w:t>
      </w:r>
      <w:r w:rsidR="003932CE">
        <w:rPr>
          <w:rFonts w:ascii="Times New Roman" w:eastAsia="Times New Roman" w:hAnsi="Times New Roman"/>
          <w:color w:val="000000" w:themeColor="text1"/>
          <w:lang w:val="en-GB"/>
        </w:rPr>
        <w:t>ies increase</w:t>
      </w:r>
      <w:r w:rsidRPr="552DB059">
        <w:rPr>
          <w:rFonts w:ascii="Times New Roman" w:eastAsia="Times New Roman" w:hAnsi="Times New Roman"/>
          <w:color w:val="000000" w:themeColor="text1"/>
          <w:lang w:val="en-GB"/>
        </w:rPr>
        <w:t xml:space="preserve"> the welfare of excluded people better than </w:t>
      </w:r>
      <w:r w:rsidR="003932CE">
        <w:rPr>
          <w:rFonts w:ascii="Times New Roman" w:eastAsia="Times New Roman" w:hAnsi="Times New Roman"/>
          <w:color w:val="000000" w:themeColor="text1"/>
          <w:lang w:val="en-GB"/>
        </w:rPr>
        <w:t xml:space="preserve">a </w:t>
      </w:r>
      <w:r w:rsidRPr="552DB059">
        <w:rPr>
          <w:rFonts w:ascii="Times New Roman" w:eastAsia="Times New Roman" w:hAnsi="Times New Roman"/>
          <w:color w:val="000000" w:themeColor="text1"/>
          <w:lang w:val="en-GB"/>
        </w:rPr>
        <w:t xml:space="preserve">passive acceptance </w:t>
      </w:r>
      <w:r w:rsidRPr="552DB059">
        <w:rPr>
          <w:rFonts w:ascii="Times New Roman" w:eastAsia="Times New Roman" w:hAnsi="Times New Roman"/>
          <w:color w:val="000000" w:themeColor="text1"/>
          <w:lang w:val="en-GB"/>
        </w:rPr>
        <w:lastRenderedPageBreak/>
        <w:t>of social b</w:t>
      </w:r>
      <w:r w:rsidR="0056092B">
        <w:rPr>
          <w:rFonts w:ascii="Times New Roman" w:eastAsia="Times New Roman" w:hAnsi="Times New Roman"/>
          <w:color w:val="000000" w:themeColor="text1"/>
          <w:lang w:val="en-GB"/>
        </w:rPr>
        <w:t>enefits</w:t>
      </w:r>
      <w:r w:rsidRPr="00933BD7">
        <w:rPr>
          <w:rFonts w:ascii="Times New Roman" w:eastAsia="Times New Roman" w:hAnsi="Times New Roman"/>
          <w:color w:val="000000" w:themeColor="text1"/>
          <w:lang w:val="en-GB"/>
        </w:rPr>
        <w:t>.</w:t>
      </w:r>
      <w:r w:rsidRPr="552DB059">
        <w:rPr>
          <w:rFonts w:ascii="Times New Roman" w:eastAsia="Times New Roman" w:hAnsi="Times New Roman"/>
          <w:color w:val="000000" w:themeColor="text1"/>
          <w:lang w:val="en-GB"/>
        </w:rPr>
        <w:t xml:space="preserve"> </w:t>
      </w:r>
      <w:r w:rsidR="00020094">
        <w:rPr>
          <w:rFonts w:ascii="Times New Roman" w:eastAsia="Times New Roman" w:hAnsi="Times New Roman"/>
          <w:color w:val="000000" w:themeColor="text1"/>
          <w:lang w:val="en-GB"/>
        </w:rPr>
        <w:t xml:space="preserve">In 2016, the </w:t>
      </w:r>
      <w:r w:rsidR="006853A7">
        <w:rPr>
          <w:rFonts w:ascii="Times New Roman" w:eastAsia="Times New Roman" w:hAnsi="Times New Roman"/>
          <w:color w:val="000000" w:themeColor="text1"/>
          <w:lang w:val="en-GB"/>
        </w:rPr>
        <w:t xml:space="preserve">Prime Minister’s Office commissioned a report on how a </w:t>
      </w:r>
      <w:r w:rsidRPr="552DB059">
        <w:rPr>
          <w:rFonts w:ascii="Times New Roman" w:eastAsia="Times New Roman" w:hAnsi="Times New Roman"/>
          <w:color w:val="000000" w:themeColor="text1"/>
          <w:lang w:val="en-GB"/>
        </w:rPr>
        <w:t xml:space="preserve">participation income </w:t>
      </w:r>
      <w:r w:rsidR="006853A7">
        <w:rPr>
          <w:rFonts w:ascii="Times New Roman" w:eastAsia="Times New Roman" w:hAnsi="Times New Roman"/>
          <w:color w:val="000000" w:themeColor="text1"/>
          <w:lang w:val="en-GB"/>
        </w:rPr>
        <w:t xml:space="preserve">could be implemented </w:t>
      </w:r>
      <w:r w:rsidRPr="552DB059">
        <w:rPr>
          <w:rFonts w:ascii="Times New Roman" w:eastAsia="Times New Roman" w:hAnsi="Times New Roman"/>
          <w:color w:val="000000" w:themeColor="text1"/>
          <w:lang w:val="en-GB"/>
        </w:rPr>
        <w:t>in Finland</w:t>
      </w:r>
      <w:r w:rsidRPr="00933BD7">
        <w:rPr>
          <w:rFonts w:ascii="Times New Roman" w:eastAsia="Times New Roman" w:hAnsi="Times New Roman"/>
          <w:color w:val="000000" w:themeColor="text1"/>
          <w:lang w:val="en-GB"/>
        </w:rPr>
        <w:t>.</w:t>
      </w:r>
      <w:r w:rsidR="006D623A" w:rsidRPr="00494EFF">
        <w:rPr>
          <w:rFonts w:ascii="Times New Roman" w:eastAsia="Times New Roman" w:hAnsi="Times New Roman"/>
          <w:color w:val="000000" w:themeColor="text1"/>
          <w:vertAlign w:val="superscript"/>
          <w:lang w:val="en-GB"/>
        </w:rPr>
        <w:t>6</w:t>
      </w:r>
    </w:p>
    <w:p w14:paraId="465477DA" w14:textId="2F9996FB" w:rsidR="00A02EDB" w:rsidRPr="00530F17" w:rsidRDefault="00F42C76" w:rsidP="00530F17">
      <w:pPr>
        <w:spacing w:line="480" w:lineRule="auto"/>
        <w:ind w:firstLine="737"/>
        <w:rPr>
          <w:rFonts w:ascii="Times New Roman" w:hAnsi="Times New Roman"/>
          <w:lang w:val="en-GB"/>
        </w:rPr>
      </w:pPr>
      <w:r w:rsidRPr="00530F17">
        <w:rPr>
          <w:rFonts w:ascii="Times New Roman" w:hAnsi="Times New Roman"/>
          <w:lang w:val="en-GB"/>
        </w:rPr>
        <w:t xml:space="preserve">The German Hartz-reforms of 2003-2005 included elements of the participation income in </w:t>
      </w:r>
      <w:r w:rsidR="00F648E6" w:rsidRPr="00530F17">
        <w:rPr>
          <w:rFonts w:ascii="Times New Roman" w:hAnsi="Times New Roman"/>
          <w:lang w:val="en-GB"/>
        </w:rPr>
        <w:t xml:space="preserve">labour market and </w:t>
      </w:r>
      <w:r w:rsidRPr="00530F17">
        <w:rPr>
          <w:rFonts w:ascii="Times New Roman" w:hAnsi="Times New Roman"/>
          <w:lang w:val="en-GB"/>
        </w:rPr>
        <w:t xml:space="preserve">unemployment regulations. </w:t>
      </w:r>
      <w:r w:rsidR="00F648E6" w:rsidRPr="00530F17">
        <w:rPr>
          <w:rFonts w:ascii="Times New Roman" w:hAnsi="Times New Roman"/>
          <w:lang w:val="en-GB"/>
        </w:rPr>
        <w:t xml:space="preserve">The </w:t>
      </w:r>
      <w:r w:rsidR="00933BD7" w:rsidRPr="00933BD7">
        <w:rPr>
          <w:rFonts w:ascii="Times New Roman" w:hAnsi="Times New Roman"/>
          <w:lang w:val="en-GB"/>
        </w:rPr>
        <w:t>centre</w:t>
      </w:r>
      <w:r w:rsidR="00F648E6" w:rsidRPr="00530F17">
        <w:rPr>
          <w:rFonts w:ascii="Times New Roman" w:hAnsi="Times New Roman"/>
          <w:lang w:val="en-GB"/>
        </w:rPr>
        <w:t xml:space="preserve"> piece of this reform package was a group of ‘laws for modern services at the labour market</w:t>
      </w:r>
      <w:r w:rsidR="00504BF0" w:rsidRPr="00530F17">
        <w:rPr>
          <w:rFonts w:ascii="Times New Roman" w:hAnsi="Times New Roman"/>
          <w:lang w:val="en-GB"/>
        </w:rPr>
        <w:t>’</w:t>
      </w:r>
      <w:r w:rsidR="00F648E6" w:rsidRPr="00530F17">
        <w:rPr>
          <w:rFonts w:ascii="Times New Roman" w:hAnsi="Times New Roman"/>
          <w:lang w:val="en-GB"/>
        </w:rPr>
        <w:t xml:space="preserve">. These laws restructured the federal employment agency and </w:t>
      </w:r>
      <w:r w:rsidR="00137BF2" w:rsidRPr="00530F17">
        <w:rPr>
          <w:rFonts w:ascii="Times New Roman" w:hAnsi="Times New Roman"/>
          <w:lang w:val="en-GB"/>
        </w:rPr>
        <w:t xml:space="preserve">the </w:t>
      </w:r>
      <w:r w:rsidR="00F648E6" w:rsidRPr="00530F17">
        <w:rPr>
          <w:rFonts w:ascii="Times New Roman" w:hAnsi="Times New Roman"/>
          <w:lang w:val="en-GB"/>
        </w:rPr>
        <w:t>unemployment benefits</w:t>
      </w:r>
      <w:r w:rsidR="00137BF2" w:rsidRPr="00530F17">
        <w:rPr>
          <w:rFonts w:ascii="Times New Roman" w:hAnsi="Times New Roman"/>
          <w:lang w:val="en-GB"/>
        </w:rPr>
        <w:t>, the assistance offered to the unemployed, and work regulations</w:t>
      </w:r>
      <w:r w:rsidR="00504BF0" w:rsidRPr="00933BD7">
        <w:rPr>
          <w:rFonts w:ascii="Times New Roman" w:hAnsi="Times New Roman"/>
          <w:lang w:val="en-GB"/>
        </w:rPr>
        <w:t>.</w:t>
      </w:r>
      <w:r w:rsidR="00504BF0" w:rsidRPr="00530F17">
        <w:rPr>
          <w:rFonts w:ascii="Times New Roman" w:hAnsi="Times New Roman"/>
          <w:lang w:val="en-GB"/>
        </w:rPr>
        <w:t xml:space="preserve"> </w:t>
      </w:r>
      <w:r w:rsidR="00137BF2" w:rsidRPr="00530F17">
        <w:rPr>
          <w:rFonts w:ascii="Times New Roman" w:hAnsi="Times New Roman"/>
          <w:lang w:val="en-GB"/>
        </w:rPr>
        <w:t>The</w:t>
      </w:r>
      <w:r w:rsidR="00A575A4" w:rsidRPr="00530F17">
        <w:rPr>
          <w:rFonts w:ascii="Times New Roman" w:hAnsi="Times New Roman"/>
          <w:lang w:val="en-GB"/>
        </w:rPr>
        <w:t xml:space="preserve"> reform created more work opportunities within the labour market</w:t>
      </w:r>
      <w:r w:rsidR="00B155C2" w:rsidRPr="00530F17">
        <w:rPr>
          <w:rFonts w:ascii="Times New Roman" w:hAnsi="Times New Roman"/>
          <w:lang w:val="en-GB"/>
        </w:rPr>
        <w:t xml:space="preserve"> though a </w:t>
      </w:r>
      <w:r w:rsidR="00A575A4" w:rsidRPr="00530F17">
        <w:rPr>
          <w:rFonts w:ascii="Times New Roman" w:hAnsi="Times New Roman"/>
          <w:lang w:val="en-GB"/>
        </w:rPr>
        <w:t>deregulation</w:t>
      </w:r>
      <w:r w:rsidR="00C30C92" w:rsidRPr="00530F17">
        <w:rPr>
          <w:rFonts w:ascii="Times New Roman" w:hAnsi="Times New Roman"/>
          <w:lang w:val="en-GB"/>
        </w:rPr>
        <w:t xml:space="preserve"> </w:t>
      </w:r>
      <w:r w:rsidR="00A02EDB" w:rsidRPr="00530F17">
        <w:rPr>
          <w:rFonts w:ascii="Times New Roman" w:hAnsi="Times New Roman"/>
          <w:lang w:val="en-GB"/>
        </w:rPr>
        <w:t xml:space="preserve">of </w:t>
      </w:r>
      <w:r w:rsidR="00C20EAA" w:rsidRPr="00530F17">
        <w:rPr>
          <w:rFonts w:ascii="Times New Roman" w:hAnsi="Times New Roman"/>
          <w:lang w:val="en-GB"/>
        </w:rPr>
        <w:t xml:space="preserve">temporary work, part-time work and self-employment. </w:t>
      </w:r>
      <w:r w:rsidR="00C30C92" w:rsidRPr="00530F17">
        <w:rPr>
          <w:rFonts w:ascii="Times New Roman" w:hAnsi="Times New Roman"/>
          <w:lang w:val="en-GB"/>
        </w:rPr>
        <w:t xml:space="preserve">This deregulation </w:t>
      </w:r>
      <w:r w:rsidR="004C7F6E" w:rsidRPr="00530F17">
        <w:rPr>
          <w:rFonts w:ascii="Times New Roman" w:hAnsi="Times New Roman"/>
          <w:lang w:val="en-GB"/>
        </w:rPr>
        <w:t xml:space="preserve">aimed to make working for even a few hours more </w:t>
      </w:r>
      <w:r w:rsidR="00B155C2" w:rsidRPr="00530F17">
        <w:rPr>
          <w:rFonts w:ascii="Times New Roman" w:hAnsi="Times New Roman"/>
          <w:lang w:val="en-GB"/>
        </w:rPr>
        <w:t xml:space="preserve">financially rewarding </w:t>
      </w:r>
      <w:r w:rsidR="004C7F6E" w:rsidRPr="00530F17">
        <w:rPr>
          <w:rFonts w:ascii="Times New Roman" w:hAnsi="Times New Roman"/>
          <w:lang w:val="en-GB"/>
        </w:rPr>
        <w:t>for individuals and to remove hiring barriers for the employers.</w:t>
      </w:r>
      <w:r w:rsidR="00A02EDB" w:rsidRPr="00530F17">
        <w:rPr>
          <w:rFonts w:ascii="Times New Roman" w:hAnsi="Times New Roman"/>
          <w:lang w:val="en-GB"/>
        </w:rPr>
        <w:t xml:space="preserve"> Additional</w:t>
      </w:r>
      <w:r w:rsidR="00B155C2" w:rsidRPr="00530F17">
        <w:rPr>
          <w:rFonts w:ascii="Times New Roman" w:hAnsi="Times New Roman"/>
          <w:lang w:val="en-GB"/>
        </w:rPr>
        <w:t>, the reforms created more work opportunities outside the labour market.</w:t>
      </w:r>
      <w:r w:rsidR="00A02EDB" w:rsidRPr="00530F17">
        <w:rPr>
          <w:rFonts w:ascii="Times New Roman" w:hAnsi="Times New Roman"/>
          <w:lang w:val="en-GB"/>
        </w:rPr>
        <w:t xml:space="preserve"> </w:t>
      </w:r>
      <w:r w:rsidR="00B155C2" w:rsidRPr="00530F17">
        <w:rPr>
          <w:rFonts w:ascii="Times New Roman" w:hAnsi="Times New Roman"/>
          <w:lang w:val="en-GB"/>
        </w:rPr>
        <w:t xml:space="preserve">Such </w:t>
      </w:r>
      <w:r w:rsidR="00A02EDB" w:rsidRPr="00530F17">
        <w:rPr>
          <w:rFonts w:ascii="Times New Roman" w:hAnsi="Times New Roman"/>
          <w:lang w:val="en-GB"/>
        </w:rPr>
        <w:t xml:space="preserve">work opportunities arose with the </w:t>
      </w:r>
      <w:r w:rsidR="00B155C2" w:rsidRPr="00530F17">
        <w:rPr>
          <w:rFonts w:ascii="Times New Roman" w:hAnsi="Times New Roman"/>
          <w:lang w:val="en-GB"/>
        </w:rPr>
        <w:t xml:space="preserve">introduction </w:t>
      </w:r>
      <w:r w:rsidR="00A02EDB" w:rsidRPr="00530F17">
        <w:rPr>
          <w:rFonts w:ascii="Times New Roman" w:hAnsi="Times New Roman"/>
          <w:lang w:val="en-GB"/>
        </w:rPr>
        <w:t xml:space="preserve">of 1-Euro-Jobs, which are work opportunities for the long-term unemployed </w:t>
      </w:r>
      <w:r w:rsidR="00B155C2" w:rsidRPr="00530F17">
        <w:rPr>
          <w:rFonts w:ascii="Times New Roman" w:hAnsi="Times New Roman"/>
          <w:lang w:val="en-GB"/>
        </w:rPr>
        <w:t xml:space="preserve">in areas that benefit society as a whole, </w:t>
      </w:r>
      <w:r w:rsidR="00A02EDB" w:rsidRPr="00530F17">
        <w:rPr>
          <w:rFonts w:ascii="Times New Roman" w:hAnsi="Times New Roman"/>
          <w:lang w:val="en-GB"/>
        </w:rPr>
        <w:t xml:space="preserve">against a </w:t>
      </w:r>
      <w:r w:rsidR="00DD04AC" w:rsidRPr="00530F17">
        <w:rPr>
          <w:rFonts w:ascii="Times New Roman" w:hAnsi="Times New Roman"/>
          <w:lang w:val="en-GB"/>
        </w:rPr>
        <w:t xml:space="preserve">minimal </w:t>
      </w:r>
      <w:r w:rsidR="00A02EDB" w:rsidRPr="00530F17">
        <w:rPr>
          <w:rFonts w:ascii="Times New Roman" w:hAnsi="Times New Roman"/>
          <w:lang w:val="en-GB"/>
        </w:rPr>
        <w:t xml:space="preserve">fee. </w:t>
      </w:r>
      <w:r w:rsidR="00B155C2" w:rsidRPr="00530F17">
        <w:rPr>
          <w:rFonts w:ascii="Times New Roman" w:hAnsi="Times New Roman"/>
          <w:lang w:val="en-GB"/>
        </w:rPr>
        <w:t xml:space="preserve">Simultaneously, the reforms made it harder to not grip the work opportunities. The merging of unemployment benefits and social assistance increased the contact between the unemployed and employment agencies, and the new regulations made it easier for employment agencies to sanction non-compliance with activation efforts. </w:t>
      </w:r>
      <w:r w:rsidR="009A2FD0" w:rsidRPr="00530F17">
        <w:rPr>
          <w:rFonts w:ascii="Times New Roman" w:hAnsi="Times New Roman"/>
          <w:lang w:val="en-GB"/>
        </w:rPr>
        <w:t xml:space="preserve">This option was fortified by a tighter definition of suitable jobs, </w:t>
      </w:r>
      <w:r w:rsidR="00137BF2" w:rsidRPr="00530F17">
        <w:rPr>
          <w:rFonts w:ascii="Times New Roman" w:hAnsi="Times New Roman"/>
          <w:lang w:val="en-GB"/>
        </w:rPr>
        <w:t xml:space="preserve">labelling </w:t>
      </w:r>
      <w:r w:rsidR="009A2FD0" w:rsidRPr="00530F17">
        <w:rPr>
          <w:rFonts w:ascii="Times New Roman" w:hAnsi="Times New Roman"/>
          <w:lang w:val="en-GB"/>
        </w:rPr>
        <w:t>a wider geographical area and a broader range of jobs as acceptable</w:t>
      </w:r>
      <w:r w:rsidR="009A2FD0" w:rsidRPr="00933BD7">
        <w:rPr>
          <w:rFonts w:ascii="Times New Roman" w:hAnsi="Times New Roman"/>
          <w:lang w:val="en-GB"/>
        </w:rPr>
        <w:t>.</w:t>
      </w:r>
      <w:r w:rsidR="00B80530" w:rsidRPr="00B80530">
        <w:rPr>
          <w:rFonts w:ascii="Times New Roman" w:hAnsi="Times New Roman"/>
          <w:vertAlign w:val="superscript"/>
          <w:lang w:val="en-GB"/>
        </w:rPr>
        <w:t>7</w:t>
      </w:r>
    </w:p>
    <w:p w14:paraId="2AD2693B" w14:textId="02DB54C4" w:rsidR="00225DDB" w:rsidRDefault="00137BF2" w:rsidP="00530F17">
      <w:pPr>
        <w:spacing w:line="480" w:lineRule="auto"/>
        <w:ind w:firstLine="737"/>
        <w:rPr>
          <w:rFonts w:ascii="Times New Roman" w:eastAsia="Times New Roman" w:hAnsi="Times New Roman"/>
          <w:color w:val="000000" w:themeColor="text1"/>
          <w:lang w:val="en-GB"/>
        </w:rPr>
      </w:pPr>
      <w:r w:rsidRPr="000D50B8">
        <w:rPr>
          <w:rFonts w:ascii="Times New Roman" w:eastAsia="Times New Roman" w:hAnsi="Times New Roman"/>
          <w:color w:val="000000" w:themeColor="text1"/>
          <w:lang w:val="en-GB"/>
        </w:rPr>
        <w:t xml:space="preserve">In the Netherlands, the idea of a participation income is strongly reflected in the civil community jobs. </w:t>
      </w:r>
      <w:r w:rsidR="000D50B8" w:rsidRPr="000D50B8">
        <w:rPr>
          <w:rFonts w:ascii="Times New Roman" w:eastAsia="Times New Roman" w:hAnsi="Times New Roman"/>
          <w:color w:val="000000" w:themeColor="text1"/>
          <w:lang w:val="en-GB"/>
        </w:rPr>
        <w:t>These jobs were introduced to the Dutch social assistance legislation in 2012. They are built on the idea of reciprocity, where solidarity received from the community demands a civic contribution to society in return</w:t>
      </w:r>
      <w:r w:rsidR="00C024CA" w:rsidRPr="00933BD7">
        <w:rPr>
          <w:rFonts w:ascii="Times New Roman" w:eastAsia="Times New Roman" w:hAnsi="Times New Roman"/>
          <w:color w:val="000000" w:themeColor="text1"/>
          <w:lang w:val="en-GB"/>
        </w:rPr>
        <w:t>.</w:t>
      </w:r>
      <w:r w:rsidR="00C024CA">
        <w:rPr>
          <w:rFonts w:ascii="Times New Roman" w:eastAsia="Times New Roman" w:hAnsi="Times New Roman"/>
          <w:color w:val="000000" w:themeColor="text1"/>
          <w:lang w:val="en-GB"/>
        </w:rPr>
        <w:t xml:space="preserve"> </w:t>
      </w:r>
      <w:r w:rsidR="003B480A">
        <w:rPr>
          <w:rFonts w:ascii="Times New Roman" w:eastAsia="Times New Roman" w:hAnsi="Times New Roman"/>
          <w:color w:val="000000" w:themeColor="text1"/>
          <w:lang w:val="en-GB"/>
        </w:rPr>
        <w:t>In line with Atkinson’s</w:t>
      </w:r>
      <w:r w:rsidR="00225DDB">
        <w:rPr>
          <w:rFonts w:ascii="Times New Roman" w:eastAsia="Times New Roman" w:hAnsi="Times New Roman"/>
          <w:color w:val="000000" w:themeColor="text1"/>
          <w:lang w:val="en-GB"/>
        </w:rPr>
        <w:t xml:space="preserve"> argument, the Dutch government suggested that everybody contributes according to their abilities and that they take responsibility for their own lives and for society. Thus,</w:t>
      </w:r>
      <w:r w:rsidR="000D50B8">
        <w:rPr>
          <w:rFonts w:ascii="Times New Roman" w:eastAsia="Times New Roman" w:hAnsi="Times New Roman"/>
          <w:color w:val="000000" w:themeColor="text1"/>
          <w:lang w:val="en-GB"/>
        </w:rPr>
        <w:t xml:space="preserve"> the primary goal of civic community jobs is less to re-integrate the unemployed into the open labour market, </w:t>
      </w:r>
      <w:r w:rsidR="000D50B8" w:rsidRPr="000D50B8">
        <w:rPr>
          <w:rFonts w:ascii="Times New Roman" w:eastAsia="Times New Roman" w:hAnsi="Times New Roman"/>
          <w:color w:val="000000" w:themeColor="text1"/>
          <w:lang w:val="en-GB"/>
        </w:rPr>
        <w:t xml:space="preserve">but rather to have </w:t>
      </w:r>
      <w:r w:rsidR="552DB059" w:rsidRPr="000D50B8">
        <w:rPr>
          <w:rFonts w:ascii="Times New Roman" w:eastAsia="Times New Roman" w:hAnsi="Times New Roman"/>
          <w:color w:val="000000" w:themeColor="text1"/>
          <w:lang w:val="en-GB"/>
        </w:rPr>
        <w:t xml:space="preserve">them </w:t>
      </w:r>
      <w:r w:rsidR="00225DDB" w:rsidRPr="000D50B8">
        <w:rPr>
          <w:rFonts w:ascii="Times New Roman" w:eastAsia="Times New Roman" w:hAnsi="Times New Roman"/>
          <w:color w:val="000000" w:themeColor="text1"/>
          <w:lang w:val="en-GB"/>
        </w:rPr>
        <w:t xml:space="preserve">contribute to society </w:t>
      </w:r>
      <w:r w:rsidR="00225DDB" w:rsidRPr="000D50B8">
        <w:rPr>
          <w:rFonts w:ascii="Times New Roman" w:eastAsia="Times New Roman" w:hAnsi="Times New Roman"/>
          <w:color w:val="000000" w:themeColor="text1"/>
          <w:lang w:val="en-GB"/>
        </w:rPr>
        <w:lastRenderedPageBreak/>
        <w:t xml:space="preserve">in </w:t>
      </w:r>
      <w:r w:rsidR="552DB059" w:rsidRPr="000D50B8">
        <w:rPr>
          <w:rFonts w:ascii="Times New Roman" w:eastAsia="Times New Roman" w:hAnsi="Times New Roman"/>
          <w:color w:val="000000" w:themeColor="text1"/>
          <w:lang w:val="en-GB"/>
        </w:rPr>
        <w:t xml:space="preserve">return for </w:t>
      </w:r>
      <w:r w:rsidR="000D50B8" w:rsidRPr="000D50B8">
        <w:rPr>
          <w:rFonts w:ascii="Times New Roman" w:eastAsia="Times New Roman" w:hAnsi="Times New Roman"/>
          <w:color w:val="000000" w:themeColor="text1"/>
          <w:lang w:val="en-GB"/>
        </w:rPr>
        <w:t xml:space="preserve">the </w:t>
      </w:r>
      <w:r w:rsidR="552DB059" w:rsidRPr="000D50B8">
        <w:rPr>
          <w:rFonts w:ascii="Times New Roman" w:eastAsia="Times New Roman" w:hAnsi="Times New Roman"/>
          <w:color w:val="000000" w:themeColor="text1"/>
          <w:lang w:val="en-GB"/>
        </w:rPr>
        <w:t>social assistance benefits</w:t>
      </w:r>
      <w:r w:rsidR="0012108B" w:rsidRPr="000D50B8">
        <w:rPr>
          <w:rFonts w:ascii="Times New Roman" w:eastAsia="Times New Roman" w:hAnsi="Times New Roman"/>
          <w:color w:val="000000" w:themeColor="text1"/>
          <w:lang w:val="en-GB"/>
        </w:rPr>
        <w:t xml:space="preserve"> </w:t>
      </w:r>
      <w:r w:rsidR="000D50B8" w:rsidRPr="000D50B8">
        <w:rPr>
          <w:rFonts w:ascii="Times New Roman" w:eastAsia="Times New Roman" w:hAnsi="Times New Roman"/>
          <w:color w:val="000000" w:themeColor="text1"/>
          <w:lang w:val="en-GB"/>
        </w:rPr>
        <w:t>received</w:t>
      </w:r>
      <w:r w:rsidR="552DB059" w:rsidRPr="00933BD7">
        <w:rPr>
          <w:rFonts w:ascii="Times New Roman" w:eastAsia="Times New Roman" w:hAnsi="Times New Roman"/>
          <w:color w:val="000000" w:themeColor="text1"/>
          <w:lang w:val="en-GB"/>
        </w:rPr>
        <w:t>.</w:t>
      </w:r>
      <w:r w:rsidR="00A65617">
        <w:rPr>
          <w:rFonts w:ascii="Times New Roman" w:eastAsia="Times New Roman" w:hAnsi="Times New Roman"/>
          <w:color w:val="000000" w:themeColor="text1"/>
          <w:lang w:val="en-GB"/>
        </w:rPr>
        <w:t xml:space="preserve"> The civil community jobs became further installed with the</w:t>
      </w:r>
      <w:r w:rsidR="00A65617" w:rsidRPr="00A65617">
        <w:rPr>
          <w:rFonts w:ascii="Times New Roman" w:eastAsia="Times New Roman" w:hAnsi="Times New Roman"/>
          <w:color w:val="000000" w:themeColor="text1"/>
          <w:lang w:val="en-GB"/>
        </w:rPr>
        <w:t xml:space="preserve"> </w:t>
      </w:r>
      <w:r w:rsidR="005A55D5" w:rsidRPr="00A65617">
        <w:rPr>
          <w:rFonts w:ascii="Times New Roman" w:eastAsia="Times New Roman" w:hAnsi="Times New Roman"/>
          <w:color w:val="000000" w:themeColor="text1"/>
          <w:lang w:val="en-GB"/>
        </w:rPr>
        <w:t>Participation Act of 2015</w:t>
      </w:r>
      <w:r w:rsidR="00A65617" w:rsidRPr="00A65617">
        <w:rPr>
          <w:rFonts w:ascii="Times New Roman" w:eastAsia="Times New Roman" w:hAnsi="Times New Roman"/>
          <w:color w:val="000000" w:themeColor="text1"/>
          <w:lang w:val="en-GB"/>
        </w:rPr>
        <w:t>, which</w:t>
      </w:r>
      <w:r w:rsidR="005A55D5" w:rsidRPr="00A65617">
        <w:rPr>
          <w:rFonts w:ascii="Times New Roman" w:eastAsia="Times New Roman" w:hAnsi="Times New Roman"/>
          <w:color w:val="000000" w:themeColor="text1"/>
          <w:lang w:val="en-GB"/>
        </w:rPr>
        <w:t xml:space="preserve"> required all municipalities to develop policies </w:t>
      </w:r>
      <w:r w:rsidR="00A65617" w:rsidRPr="00A65617">
        <w:rPr>
          <w:rFonts w:ascii="Times New Roman" w:eastAsia="Times New Roman" w:hAnsi="Times New Roman"/>
          <w:color w:val="000000" w:themeColor="text1"/>
          <w:lang w:val="en-GB"/>
        </w:rPr>
        <w:t>governing them</w:t>
      </w:r>
      <w:r w:rsidR="005A55D5" w:rsidRPr="00A65617">
        <w:rPr>
          <w:rFonts w:ascii="Times New Roman" w:eastAsia="Times New Roman" w:hAnsi="Times New Roman"/>
          <w:color w:val="000000" w:themeColor="text1"/>
          <w:lang w:val="en-GB"/>
        </w:rPr>
        <w:t>.</w:t>
      </w:r>
      <w:r w:rsidR="005A55D5">
        <w:rPr>
          <w:rFonts w:ascii="Times New Roman" w:eastAsia="Times New Roman" w:hAnsi="Times New Roman"/>
          <w:color w:val="000000" w:themeColor="text1"/>
          <w:lang w:val="en-GB"/>
        </w:rPr>
        <w:t xml:space="preserve"> In the framework of these policies, reintegration plans are developed for the social assistant claimants. The plans specify which requirements the claimants have to fulfil to receive social assistance, and which sanctions will be introduced if the requirements are not fulfilled. The requirements can be non-remunerated activities that serve the community, which can be presented in the form of participation placements</w:t>
      </w:r>
      <w:r w:rsidR="005A55D5" w:rsidRPr="00933BD7">
        <w:rPr>
          <w:rFonts w:ascii="Times New Roman" w:eastAsia="Times New Roman" w:hAnsi="Times New Roman"/>
          <w:color w:val="000000" w:themeColor="text1"/>
          <w:lang w:val="en-GB"/>
        </w:rPr>
        <w:t>.</w:t>
      </w:r>
      <w:r w:rsidR="00384090" w:rsidRPr="00384090">
        <w:rPr>
          <w:rFonts w:ascii="Times New Roman" w:eastAsia="Times New Roman" w:hAnsi="Times New Roman"/>
          <w:color w:val="000000" w:themeColor="text1"/>
          <w:vertAlign w:val="superscript"/>
          <w:lang w:val="en-GB"/>
        </w:rPr>
        <w:t>8</w:t>
      </w:r>
      <w:r w:rsidR="005A55D5">
        <w:rPr>
          <w:rFonts w:ascii="Times New Roman" w:eastAsia="Times New Roman" w:hAnsi="Times New Roman"/>
          <w:color w:val="000000" w:themeColor="text1"/>
          <w:lang w:val="en-GB"/>
        </w:rPr>
        <w:t xml:space="preserve"> </w:t>
      </w:r>
    </w:p>
    <w:p w14:paraId="7AFFB6A3" w14:textId="77777777" w:rsidR="005A55D5" w:rsidRDefault="005A55D5" w:rsidP="00516E0F">
      <w:pPr>
        <w:spacing w:line="480" w:lineRule="auto"/>
        <w:rPr>
          <w:rFonts w:ascii="Times New Roman" w:eastAsia="Times New Roman" w:hAnsi="Times New Roman"/>
          <w:color w:val="000000" w:themeColor="text1"/>
          <w:lang w:val="en-GB"/>
        </w:rPr>
      </w:pPr>
    </w:p>
    <w:p w14:paraId="2F287A95" w14:textId="3637D288" w:rsidR="14F6236C" w:rsidRPr="00530F17" w:rsidRDefault="00EB77E6" w:rsidP="00516E0F">
      <w:pPr>
        <w:spacing w:line="480" w:lineRule="auto"/>
        <w:rPr>
          <w:lang w:val="en-GB"/>
        </w:rPr>
      </w:pPr>
      <w:r w:rsidRPr="00530F17">
        <w:rPr>
          <w:rFonts w:ascii="Times New Roman" w:hAnsi="Times New Roman"/>
          <w:b/>
          <w:lang w:val="en-GB"/>
        </w:rPr>
        <w:t xml:space="preserve">Forms of social participation acknowledged </w:t>
      </w:r>
    </w:p>
    <w:p w14:paraId="125867C0" w14:textId="3751E9D1" w:rsidR="000364CE" w:rsidRPr="00530F17" w:rsidRDefault="00C75FB9" w:rsidP="00970B58">
      <w:pPr>
        <w:spacing w:line="480" w:lineRule="auto"/>
        <w:rPr>
          <w:rFonts w:ascii="Times New Roman" w:hAnsi="Times New Roman"/>
          <w:lang w:val="en-GB"/>
        </w:rPr>
      </w:pPr>
      <w:r w:rsidRPr="00530F17">
        <w:rPr>
          <w:rFonts w:ascii="Times New Roman" w:hAnsi="Times New Roman"/>
          <w:lang w:val="en-GB"/>
        </w:rPr>
        <w:t>Atkinson’s idea of a participation income</w:t>
      </w:r>
      <w:r w:rsidR="003B480A">
        <w:rPr>
          <w:rFonts w:ascii="Times New Roman" w:eastAsia="Times New Roman" w:hAnsi="Times New Roman"/>
          <w:lang w:val="en-US"/>
        </w:rPr>
        <w:t xml:space="preserve"> </w:t>
      </w:r>
      <w:r w:rsidRPr="00530F17">
        <w:rPr>
          <w:rFonts w:ascii="Times New Roman" w:hAnsi="Times New Roman"/>
          <w:lang w:val="en-GB"/>
        </w:rPr>
        <w:t xml:space="preserve">draws attention to the wide range of activities that constitute social participation. </w:t>
      </w:r>
      <w:r w:rsidR="00AE07CB" w:rsidRPr="00530F17">
        <w:rPr>
          <w:rFonts w:ascii="Times New Roman" w:hAnsi="Times New Roman"/>
          <w:lang w:val="en-GB"/>
        </w:rPr>
        <w:t xml:space="preserve">The countries studied in this article introduced elements of the participation income in different ways, thereby highlighting </w:t>
      </w:r>
      <w:r w:rsidR="002D3BB0" w:rsidRPr="00530F17">
        <w:rPr>
          <w:rFonts w:ascii="Times New Roman" w:hAnsi="Times New Roman"/>
          <w:lang w:val="en-GB"/>
        </w:rPr>
        <w:t>different understandings of what constitutes social participation</w:t>
      </w:r>
      <w:r w:rsidR="00AF305E">
        <w:rPr>
          <w:rFonts w:ascii="Times New Roman" w:hAnsi="Times New Roman"/>
          <w:lang w:val="en-GB"/>
        </w:rPr>
        <w:t xml:space="preserve"> as a condition for social security</w:t>
      </w:r>
      <w:r w:rsidR="002D3BB0" w:rsidRPr="00530F17">
        <w:rPr>
          <w:rFonts w:ascii="Times New Roman" w:hAnsi="Times New Roman"/>
          <w:lang w:val="en-GB"/>
        </w:rPr>
        <w:t xml:space="preserve">. All countries have in common that they define paid work as social participation, and that they see people who do not work for pay as those individuals whose social participation needs to be established. Moreover, all countries </w:t>
      </w:r>
      <w:r w:rsidR="00E73BBE" w:rsidRPr="00530F17">
        <w:rPr>
          <w:rFonts w:ascii="Times New Roman" w:hAnsi="Times New Roman"/>
          <w:lang w:val="en-GB"/>
        </w:rPr>
        <w:t xml:space="preserve">defined the target group for the participation income as those of working age. </w:t>
      </w:r>
      <w:r w:rsidR="00E73BBE" w:rsidRPr="552DB059">
        <w:rPr>
          <w:rFonts w:ascii="Times New Roman" w:eastAsia="Times New Roman" w:hAnsi="Times New Roman"/>
          <w:color w:val="000000" w:themeColor="text1"/>
          <w:lang w:val="en-GB"/>
        </w:rPr>
        <w:t>In principle, all socia</w:t>
      </w:r>
      <w:r w:rsidR="00E73BBE" w:rsidRPr="00E73BBE">
        <w:rPr>
          <w:rFonts w:ascii="Times New Roman" w:eastAsia="Times New Roman" w:hAnsi="Times New Roman"/>
          <w:color w:val="000000" w:themeColor="text1"/>
          <w:lang w:val="en-GB"/>
        </w:rPr>
        <w:t>l assistance claimants aged 18+ years in Denmark, Germany and the Netherlands are required to work without a wage as a compensation for the benefit. In Finland there is no such arrangement but a w</w:t>
      </w:r>
      <w:r w:rsidR="00E73BBE" w:rsidRPr="552DB059">
        <w:rPr>
          <w:rFonts w:ascii="Times New Roman" w:eastAsia="Times New Roman" w:hAnsi="Times New Roman"/>
          <w:color w:val="000000" w:themeColor="text1"/>
          <w:lang w:val="en-GB"/>
        </w:rPr>
        <w:t xml:space="preserve">orking aged claimant can lose part of the benefit if </w:t>
      </w:r>
      <w:r w:rsidR="00E73BBE">
        <w:rPr>
          <w:rFonts w:ascii="Times New Roman" w:eastAsia="Times New Roman" w:hAnsi="Times New Roman"/>
          <w:color w:val="000000" w:themeColor="text1"/>
          <w:lang w:val="en-GB"/>
        </w:rPr>
        <w:t>they refuse</w:t>
      </w:r>
      <w:r w:rsidR="00E73BBE" w:rsidRPr="552DB059">
        <w:rPr>
          <w:rFonts w:ascii="Times New Roman" w:eastAsia="Times New Roman" w:hAnsi="Times New Roman"/>
          <w:color w:val="000000" w:themeColor="text1"/>
          <w:lang w:val="en-GB"/>
        </w:rPr>
        <w:t xml:space="preserve"> to participate in </w:t>
      </w:r>
      <w:r w:rsidR="00E73BBE">
        <w:rPr>
          <w:rFonts w:ascii="Times New Roman" w:eastAsia="Times New Roman" w:hAnsi="Times New Roman"/>
          <w:color w:val="000000" w:themeColor="text1"/>
          <w:lang w:val="en-GB"/>
        </w:rPr>
        <w:t xml:space="preserve">activation </w:t>
      </w:r>
      <w:r w:rsidR="00E73BBE" w:rsidRPr="552DB059">
        <w:rPr>
          <w:rFonts w:ascii="Times New Roman" w:eastAsia="Times New Roman" w:hAnsi="Times New Roman"/>
          <w:color w:val="000000" w:themeColor="text1"/>
          <w:lang w:val="en-GB"/>
        </w:rPr>
        <w:t>program</w:t>
      </w:r>
      <w:r w:rsidR="00E73BBE">
        <w:rPr>
          <w:rFonts w:ascii="Times New Roman" w:eastAsia="Times New Roman" w:hAnsi="Times New Roman"/>
          <w:color w:val="000000" w:themeColor="text1"/>
          <w:lang w:val="en-GB"/>
        </w:rPr>
        <w:t>s</w:t>
      </w:r>
      <w:r w:rsidR="00E73BBE" w:rsidRPr="552DB059">
        <w:rPr>
          <w:rFonts w:ascii="Times New Roman" w:eastAsia="Times New Roman" w:hAnsi="Times New Roman"/>
          <w:color w:val="000000" w:themeColor="text1"/>
          <w:lang w:val="en-GB"/>
        </w:rPr>
        <w:t>.</w:t>
      </w:r>
      <w:r w:rsidR="00E73BBE">
        <w:rPr>
          <w:rFonts w:ascii="Times New Roman" w:eastAsia="Times New Roman" w:hAnsi="Times New Roman"/>
          <w:color w:val="000000" w:themeColor="text1"/>
          <w:lang w:val="en-GB"/>
        </w:rPr>
        <w:t xml:space="preserve"> Exemptions apply to those </w:t>
      </w:r>
      <w:r w:rsidR="00E73BBE" w:rsidRPr="00530F17">
        <w:rPr>
          <w:rFonts w:ascii="Times New Roman" w:hAnsi="Times New Roman"/>
          <w:lang w:val="en-GB"/>
        </w:rPr>
        <w:t>with limited work capability</w:t>
      </w:r>
      <w:r w:rsidR="00E73BBE" w:rsidRPr="00933BD7">
        <w:rPr>
          <w:rFonts w:ascii="Times New Roman" w:eastAsia="Times New Roman" w:hAnsi="Times New Roman"/>
          <w:lang w:val="en-GB"/>
        </w:rPr>
        <w:t>.</w:t>
      </w:r>
      <w:r w:rsidR="00E73BBE" w:rsidRPr="00530F17">
        <w:rPr>
          <w:rFonts w:ascii="Times New Roman" w:hAnsi="Times New Roman"/>
          <w:lang w:val="en-GB"/>
        </w:rPr>
        <w:t xml:space="preserve"> This definition implies that retirees and individuals with limited work capacity are excluded from the reciprocity mechanism, which demands a contribution to society in exchange for benefits received.  </w:t>
      </w:r>
    </w:p>
    <w:p w14:paraId="5FF8E7E8" w14:textId="152AAEF7" w:rsidR="003C5884" w:rsidRDefault="00690D77" w:rsidP="003C5884">
      <w:pPr>
        <w:spacing w:line="480" w:lineRule="auto"/>
        <w:ind w:firstLine="737"/>
        <w:rPr>
          <w:rFonts w:ascii="Times New Roman" w:hAnsi="Times New Roman"/>
          <w:lang w:val="en-GB"/>
        </w:rPr>
      </w:pPr>
      <w:r w:rsidRPr="00530F17">
        <w:rPr>
          <w:rFonts w:ascii="Times New Roman" w:hAnsi="Times New Roman"/>
          <w:lang w:val="en-GB"/>
        </w:rPr>
        <w:t>The forms of social participation acknowledged differ slightly across countries. Among the countries included in this study, the Netherlands recognize the biggest vari</w:t>
      </w:r>
      <w:r w:rsidRPr="00530F17">
        <w:rPr>
          <w:rFonts w:ascii="Times New Roman" w:eastAsia="Times New Roman" w:hAnsi="Times New Roman"/>
          <w:lang w:val="en-US"/>
        </w:rPr>
        <w:t>ety of activities, Denmark the smallest one, with Germany falling in the middle</w:t>
      </w:r>
      <w:r w:rsidR="007673B8">
        <w:rPr>
          <w:rFonts w:ascii="Times New Roman" w:eastAsia="Times New Roman" w:hAnsi="Times New Roman"/>
          <w:lang w:val="en-US"/>
        </w:rPr>
        <w:t xml:space="preserve"> (see Table 1)</w:t>
      </w:r>
      <w:r>
        <w:rPr>
          <w:rFonts w:ascii="Times New Roman" w:eastAsia="Times New Roman" w:hAnsi="Times New Roman"/>
          <w:lang w:val="en-US"/>
        </w:rPr>
        <w:t>.</w:t>
      </w:r>
      <w:r w:rsidRPr="00530F17">
        <w:rPr>
          <w:rFonts w:ascii="Times New Roman" w:eastAsia="Times New Roman" w:hAnsi="Times New Roman"/>
          <w:lang w:val="en-US"/>
        </w:rPr>
        <w:t xml:space="preserve"> A</w:t>
      </w:r>
      <w:r w:rsidRPr="00530F17">
        <w:rPr>
          <w:rFonts w:ascii="Times New Roman" w:hAnsi="Times New Roman"/>
          <w:lang w:val="en-GB"/>
        </w:rPr>
        <w:t xml:space="preserve">ll countries consider </w:t>
      </w:r>
      <w:r w:rsidRPr="00530F17">
        <w:rPr>
          <w:rFonts w:ascii="Times New Roman" w:hAnsi="Times New Roman"/>
          <w:lang w:val="en-GB"/>
        </w:rPr>
        <w:lastRenderedPageBreak/>
        <w:t>caregiving as a form of social participation</w:t>
      </w:r>
      <w:r w:rsidR="007314F5">
        <w:rPr>
          <w:rFonts w:ascii="Times New Roman" w:hAnsi="Times New Roman"/>
          <w:lang w:val="en-GB"/>
        </w:rPr>
        <w:t xml:space="preserve"> in granting family policy benefits</w:t>
      </w:r>
      <w:r w:rsidRPr="00530F17">
        <w:rPr>
          <w:rFonts w:ascii="Times New Roman" w:hAnsi="Times New Roman"/>
          <w:lang w:val="en-GB"/>
        </w:rPr>
        <w:t xml:space="preserve">, </w:t>
      </w:r>
      <w:r w:rsidR="007314F5">
        <w:rPr>
          <w:rFonts w:ascii="Times New Roman" w:hAnsi="Times New Roman"/>
          <w:lang w:val="en-GB"/>
        </w:rPr>
        <w:t xml:space="preserve">by </w:t>
      </w:r>
      <w:r w:rsidR="00756802" w:rsidRPr="00530F17">
        <w:rPr>
          <w:rFonts w:ascii="Times New Roman" w:hAnsi="Times New Roman"/>
          <w:lang w:val="en-GB"/>
        </w:rPr>
        <w:t>they treat it differently</w:t>
      </w:r>
      <w:r w:rsidR="007314F5">
        <w:rPr>
          <w:rFonts w:ascii="Times New Roman" w:hAnsi="Times New Roman"/>
          <w:lang w:val="en-GB"/>
        </w:rPr>
        <w:t xml:space="preserve"> in activation policies</w:t>
      </w:r>
      <w:r w:rsidR="00756802" w:rsidRPr="00530F17">
        <w:rPr>
          <w:rFonts w:ascii="Times New Roman" w:hAnsi="Times New Roman"/>
          <w:lang w:val="en-GB"/>
        </w:rPr>
        <w:t xml:space="preserve">. </w:t>
      </w:r>
      <w:r w:rsidR="007B4F17" w:rsidRPr="00530F17">
        <w:rPr>
          <w:rFonts w:ascii="Times New Roman" w:hAnsi="Times New Roman"/>
          <w:lang w:val="en-GB"/>
        </w:rPr>
        <w:t xml:space="preserve">The biggest difference in the treatment of caregiving is between Denmark, which only allows for parental leave from the social participation obligation against a reduced amount of unemployment benefits, and the Netherlands, who accept </w:t>
      </w:r>
      <w:r w:rsidR="0063561E" w:rsidRPr="00530F17">
        <w:rPr>
          <w:rFonts w:ascii="Times New Roman" w:hAnsi="Times New Roman"/>
          <w:lang w:val="en-GB"/>
        </w:rPr>
        <w:t xml:space="preserve">caregiving for children and for older people </w:t>
      </w:r>
      <w:r w:rsidR="007B4F17" w:rsidRPr="00530F17">
        <w:rPr>
          <w:rFonts w:ascii="Times New Roman" w:hAnsi="Times New Roman"/>
          <w:lang w:val="en-GB"/>
        </w:rPr>
        <w:t>as a form social participation</w:t>
      </w:r>
      <w:r w:rsidR="0063561E" w:rsidRPr="00933BD7">
        <w:rPr>
          <w:rFonts w:ascii="Times New Roman" w:eastAsia="Times New Roman" w:hAnsi="Times New Roman"/>
          <w:lang w:val="en-GB"/>
        </w:rPr>
        <w:t>.</w:t>
      </w:r>
      <w:r w:rsidR="007B4F17" w:rsidRPr="00530F17">
        <w:rPr>
          <w:rFonts w:ascii="Times New Roman" w:hAnsi="Times New Roman"/>
          <w:lang w:val="en-GB"/>
        </w:rPr>
        <w:t xml:space="preserve"> </w:t>
      </w:r>
      <w:r w:rsidR="007314F5">
        <w:rPr>
          <w:rFonts w:ascii="Times New Roman" w:hAnsi="Times New Roman"/>
          <w:lang w:val="en-GB"/>
        </w:rPr>
        <w:t>Caregiving is not considered as social participation in the current Finnish legislation. However, the proposed model for participation income in Finland includes caregiving.</w:t>
      </w:r>
      <w:r w:rsidR="007314F5" w:rsidRPr="007314F5">
        <w:rPr>
          <w:rFonts w:ascii="Times New Roman" w:eastAsia="Times New Roman" w:hAnsi="Times New Roman"/>
          <w:color w:val="000000" w:themeColor="text1"/>
          <w:vertAlign w:val="superscript"/>
          <w:lang w:val="en-GB"/>
        </w:rPr>
        <w:t xml:space="preserve"> </w:t>
      </w:r>
      <w:r w:rsidR="007314F5" w:rsidRPr="00494EFF">
        <w:rPr>
          <w:rFonts w:ascii="Times New Roman" w:eastAsia="Times New Roman" w:hAnsi="Times New Roman"/>
          <w:color w:val="000000" w:themeColor="text1"/>
          <w:vertAlign w:val="superscript"/>
          <w:lang w:val="en-GB"/>
        </w:rPr>
        <w:t>6</w:t>
      </w:r>
    </w:p>
    <w:p w14:paraId="0B690B58" w14:textId="2186EAE3" w:rsidR="00970F2B" w:rsidRPr="00530F17" w:rsidRDefault="00E175B4" w:rsidP="003C5884">
      <w:pPr>
        <w:spacing w:line="480" w:lineRule="auto"/>
        <w:ind w:firstLine="737"/>
        <w:rPr>
          <w:rFonts w:ascii="Times New Roman" w:hAnsi="Times New Roman"/>
          <w:lang w:val="en-GB"/>
        </w:rPr>
      </w:pPr>
      <w:r w:rsidRPr="00530F17">
        <w:rPr>
          <w:rFonts w:ascii="Times New Roman" w:hAnsi="Times New Roman"/>
          <w:lang w:val="en-GB"/>
        </w:rPr>
        <w:t xml:space="preserve">Like caregiving, also volunteering is treated differently across countries. In Denmark it is not considered a form of social participation, in the Netherlands it is, in Germany the </w:t>
      </w:r>
      <w:r w:rsidR="000C51DC">
        <w:rPr>
          <w:rFonts w:ascii="Times New Roman" w:eastAsia="Times New Roman" w:hAnsi="Times New Roman"/>
          <w:lang w:val="en-GB"/>
        </w:rPr>
        <w:t>1</w:t>
      </w:r>
      <w:r w:rsidRPr="00530F17">
        <w:rPr>
          <w:rFonts w:ascii="Times New Roman" w:hAnsi="Times New Roman"/>
          <w:lang w:val="en-GB"/>
        </w:rPr>
        <w:t xml:space="preserve">-Euro-jobs </w:t>
      </w:r>
      <w:r w:rsidR="00DC31E9" w:rsidRPr="00530F17">
        <w:rPr>
          <w:rFonts w:ascii="Times New Roman" w:hAnsi="Times New Roman"/>
          <w:lang w:val="en-GB"/>
        </w:rPr>
        <w:t xml:space="preserve">are so low-paid that they resemble volunteering, and in Finland the activities suggested within the Rehabilitative Work Act can include </w:t>
      </w:r>
      <w:r w:rsidR="003C5884">
        <w:rPr>
          <w:rFonts w:ascii="Times New Roman" w:hAnsi="Times New Roman"/>
          <w:lang w:val="en-GB"/>
        </w:rPr>
        <w:t xml:space="preserve">elements of </w:t>
      </w:r>
      <w:r w:rsidR="00DC31E9" w:rsidRPr="00530F17">
        <w:rPr>
          <w:rFonts w:ascii="Times New Roman" w:hAnsi="Times New Roman"/>
          <w:lang w:val="en-GB"/>
        </w:rPr>
        <w:t>volunt</w:t>
      </w:r>
      <w:r w:rsidR="003C5884">
        <w:rPr>
          <w:rFonts w:ascii="Times New Roman" w:hAnsi="Times New Roman"/>
          <w:lang w:val="en-GB"/>
        </w:rPr>
        <w:t>ary work</w:t>
      </w:r>
      <w:r w:rsidR="00DC31E9" w:rsidRPr="00933BD7">
        <w:rPr>
          <w:rFonts w:ascii="Times New Roman" w:eastAsia="Times New Roman" w:hAnsi="Times New Roman"/>
          <w:lang w:val="en-GB"/>
        </w:rPr>
        <w:t>.</w:t>
      </w:r>
      <w:r w:rsidR="00DC31E9" w:rsidRPr="00530F17">
        <w:rPr>
          <w:rFonts w:ascii="Times New Roman" w:hAnsi="Times New Roman"/>
          <w:lang w:val="en-GB"/>
        </w:rPr>
        <w:t xml:space="preserve"> </w:t>
      </w:r>
      <w:r w:rsidR="007314F5">
        <w:rPr>
          <w:rFonts w:ascii="Times New Roman" w:hAnsi="Times New Roman"/>
          <w:lang w:val="en-GB"/>
        </w:rPr>
        <w:t xml:space="preserve">In the proposed participation income model voluntary work plays a central role. </w:t>
      </w:r>
      <w:r w:rsidR="004F0D38" w:rsidRPr="00530F17">
        <w:rPr>
          <w:rFonts w:ascii="Times New Roman" w:hAnsi="Times New Roman"/>
          <w:lang w:val="en-GB"/>
        </w:rPr>
        <w:t>Finally, further education can also be considered social participation. Such a designation of further education is self-evident in Denmark, Germany, and the Netherlands, and it can be negotiated for the individual unemployed person within the framework of the Finnish Rehabilitative Work Act</w:t>
      </w:r>
      <w:r w:rsidR="004F0D38" w:rsidRPr="00933BD7">
        <w:rPr>
          <w:rFonts w:ascii="Times New Roman" w:eastAsia="Times New Roman" w:hAnsi="Times New Roman"/>
          <w:lang w:val="en-GB"/>
        </w:rPr>
        <w:t>.</w:t>
      </w:r>
      <w:r w:rsidR="00C50F0D" w:rsidRPr="00C50F0D">
        <w:rPr>
          <w:rFonts w:ascii="Times New Roman" w:eastAsia="Times New Roman" w:hAnsi="Times New Roman"/>
          <w:vertAlign w:val="superscript"/>
          <w:lang w:val="en-US"/>
        </w:rPr>
        <w:t>9</w:t>
      </w:r>
      <w:r w:rsidR="004F0D38" w:rsidRPr="00530F17">
        <w:rPr>
          <w:rFonts w:ascii="Times New Roman" w:hAnsi="Times New Roman"/>
          <w:lang w:val="en-GB"/>
        </w:rPr>
        <w:t xml:space="preserve"> </w:t>
      </w:r>
    </w:p>
    <w:p w14:paraId="5FBD91EC" w14:textId="77777777" w:rsidR="00C75FB9" w:rsidRDefault="00C75FB9" w:rsidP="00970B58">
      <w:pPr>
        <w:spacing w:line="480" w:lineRule="auto"/>
        <w:rPr>
          <w:rFonts w:ascii="Times New Roman" w:eastAsia="Times New Roman" w:hAnsi="Times New Roman"/>
          <w:lang w:val="en-US"/>
        </w:rPr>
      </w:pPr>
    </w:p>
    <w:p w14:paraId="68AC5627" w14:textId="77777777" w:rsidR="00BF0531" w:rsidRDefault="00BF0531" w:rsidP="00970B58">
      <w:pPr>
        <w:spacing w:line="480" w:lineRule="auto"/>
        <w:rPr>
          <w:rFonts w:ascii="Times New Roman" w:eastAsia="Times New Roman" w:hAnsi="Times New Roman"/>
          <w:lang w:val="en-US"/>
        </w:rPr>
      </w:pPr>
      <w:r>
        <w:rPr>
          <w:rFonts w:ascii="Times New Roman" w:eastAsia="Times New Roman" w:hAnsi="Times New Roman"/>
          <w:lang w:val="en-US"/>
        </w:rPr>
        <w:t>Table 1: Overview of the forms of social participation acknowledge</w:t>
      </w:r>
      <w:r w:rsidR="001E3DDE">
        <w:rPr>
          <w:rFonts w:ascii="Times New Roman" w:eastAsia="Times New Roman" w:hAnsi="Times New Roman"/>
          <w:lang w:val="en-US"/>
        </w:rPr>
        <w:t>d</w:t>
      </w:r>
      <w:r>
        <w:rPr>
          <w:rFonts w:ascii="Times New Roman" w:eastAsia="Times New Roman" w:hAnsi="Times New Roman"/>
          <w:lang w:val="en-US"/>
        </w:rPr>
        <w:t>, by country</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9F4D98" w:rsidRPr="00530F17" w14:paraId="17CC7F57" w14:textId="77777777" w:rsidTr="003335F7">
        <w:tc>
          <w:tcPr>
            <w:tcW w:w="1925" w:type="dxa"/>
            <w:tcBorders>
              <w:bottom w:val="single" w:sz="4" w:space="0" w:color="auto"/>
            </w:tcBorders>
            <w:vAlign w:val="center"/>
          </w:tcPr>
          <w:p w14:paraId="1E93DFA2" w14:textId="7970E7DC" w:rsidR="009F4D98" w:rsidRDefault="009F4D98" w:rsidP="00970B58">
            <w:pPr>
              <w:spacing w:line="480" w:lineRule="auto"/>
              <w:rPr>
                <w:rFonts w:ascii="Times New Roman" w:eastAsia="Times New Roman" w:hAnsi="Times New Roman"/>
                <w:lang w:val="en-US"/>
              </w:rPr>
            </w:pPr>
          </w:p>
        </w:tc>
        <w:tc>
          <w:tcPr>
            <w:tcW w:w="1925" w:type="dxa"/>
            <w:tcBorders>
              <w:bottom w:val="single" w:sz="4" w:space="0" w:color="auto"/>
            </w:tcBorders>
            <w:vAlign w:val="center"/>
          </w:tcPr>
          <w:p w14:paraId="29F70C2A" w14:textId="7B7BC9DF" w:rsidR="009F4D98" w:rsidRDefault="009F4D98" w:rsidP="00970B58">
            <w:pPr>
              <w:spacing w:line="480" w:lineRule="auto"/>
              <w:rPr>
                <w:rFonts w:ascii="Times New Roman" w:eastAsia="Times New Roman" w:hAnsi="Times New Roman"/>
                <w:lang w:val="en-US"/>
              </w:rPr>
            </w:pPr>
            <w:r>
              <w:rPr>
                <w:rFonts w:ascii="Times New Roman" w:eastAsia="Times New Roman" w:hAnsi="Times New Roman"/>
                <w:lang w:val="en-US"/>
              </w:rPr>
              <w:t>Denmark</w:t>
            </w:r>
          </w:p>
        </w:tc>
        <w:tc>
          <w:tcPr>
            <w:tcW w:w="1926" w:type="dxa"/>
            <w:tcBorders>
              <w:bottom w:val="single" w:sz="4" w:space="0" w:color="auto"/>
            </w:tcBorders>
            <w:vAlign w:val="center"/>
          </w:tcPr>
          <w:p w14:paraId="059A7796" w14:textId="16CE5654" w:rsidR="009F4D98" w:rsidRDefault="009F4D98" w:rsidP="00970B58">
            <w:pPr>
              <w:spacing w:line="480" w:lineRule="auto"/>
              <w:rPr>
                <w:rFonts w:ascii="Times New Roman" w:eastAsia="Times New Roman" w:hAnsi="Times New Roman"/>
                <w:lang w:val="en-US"/>
              </w:rPr>
            </w:pPr>
            <w:r>
              <w:rPr>
                <w:rFonts w:ascii="Times New Roman" w:eastAsia="Times New Roman" w:hAnsi="Times New Roman"/>
                <w:lang w:val="en-US"/>
              </w:rPr>
              <w:t>Finland</w:t>
            </w:r>
          </w:p>
        </w:tc>
        <w:tc>
          <w:tcPr>
            <w:tcW w:w="1926" w:type="dxa"/>
            <w:tcBorders>
              <w:bottom w:val="single" w:sz="4" w:space="0" w:color="auto"/>
            </w:tcBorders>
            <w:vAlign w:val="center"/>
          </w:tcPr>
          <w:p w14:paraId="11EA5E2E" w14:textId="24209EF0" w:rsidR="009F4D98" w:rsidRDefault="009F4D98" w:rsidP="00970B58">
            <w:pPr>
              <w:spacing w:line="480" w:lineRule="auto"/>
              <w:rPr>
                <w:rFonts w:ascii="Times New Roman" w:eastAsia="Times New Roman" w:hAnsi="Times New Roman"/>
                <w:lang w:val="en-US"/>
              </w:rPr>
            </w:pPr>
            <w:r>
              <w:rPr>
                <w:rFonts w:ascii="Times New Roman" w:eastAsia="Times New Roman" w:hAnsi="Times New Roman"/>
                <w:lang w:val="en-US"/>
              </w:rPr>
              <w:t>Germany</w:t>
            </w:r>
          </w:p>
        </w:tc>
        <w:tc>
          <w:tcPr>
            <w:tcW w:w="1926" w:type="dxa"/>
            <w:tcBorders>
              <w:bottom w:val="single" w:sz="4" w:space="0" w:color="auto"/>
            </w:tcBorders>
            <w:vAlign w:val="center"/>
          </w:tcPr>
          <w:p w14:paraId="672BD663" w14:textId="73A125B6" w:rsidR="009F4D98" w:rsidRDefault="009F4D98" w:rsidP="00970B58">
            <w:pPr>
              <w:spacing w:line="480" w:lineRule="auto"/>
              <w:rPr>
                <w:rFonts w:ascii="Times New Roman" w:eastAsia="Times New Roman" w:hAnsi="Times New Roman"/>
                <w:lang w:val="en-US"/>
              </w:rPr>
            </w:pPr>
            <w:r>
              <w:rPr>
                <w:rFonts w:ascii="Times New Roman" w:eastAsia="Times New Roman" w:hAnsi="Times New Roman"/>
                <w:lang w:val="en-US"/>
              </w:rPr>
              <w:t>The Netherlands</w:t>
            </w:r>
          </w:p>
        </w:tc>
      </w:tr>
      <w:tr w:rsidR="009F4D98" w:rsidRPr="00530F17" w14:paraId="4CFEC581" w14:textId="77777777" w:rsidTr="003335F7">
        <w:tc>
          <w:tcPr>
            <w:tcW w:w="1925" w:type="dxa"/>
            <w:tcBorders>
              <w:top w:val="single" w:sz="4" w:space="0" w:color="auto"/>
            </w:tcBorders>
            <w:vAlign w:val="center"/>
          </w:tcPr>
          <w:p w14:paraId="1B3DEB40" w14:textId="0830B394" w:rsidR="009F4D98" w:rsidRDefault="009F4D98" w:rsidP="00970B58">
            <w:pPr>
              <w:spacing w:line="480" w:lineRule="auto"/>
              <w:rPr>
                <w:rFonts w:ascii="Times New Roman" w:eastAsia="Times New Roman" w:hAnsi="Times New Roman"/>
                <w:lang w:val="en-US"/>
              </w:rPr>
            </w:pPr>
            <w:r>
              <w:rPr>
                <w:rFonts w:ascii="Times New Roman" w:eastAsia="Times New Roman" w:hAnsi="Times New Roman"/>
                <w:lang w:val="en-US"/>
              </w:rPr>
              <w:t>Paid work</w:t>
            </w:r>
          </w:p>
        </w:tc>
        <w:tc>
          <w:tcPr>
            <w:tcW w:w="1925" w:type="dxa"/>
            <w:tcBorders>
              <w:top w:val="single" w:sz="4" w:space="0" w:color="auto"/>
            </w:tcBorders>
            <w:vAlign w:val="center"/>
          </w:tcPr>
          <w:p w14:paraId="3176A408" w14:textId="4FEDBFEF" w:rsidR="009F4D98" w:rsidRDefault="003C5884" w:rsidP="00970B58">
            <w:pPr>
              <w:spacing w:line="480" w:lineRule="auto"/>
              <w:rPr>
                <w:rFonts w:ascii="Times New Roman" w:eastAsia="Times New Roman" w:hAnsi="Times New Roman"/>
                <w:lang w:val="en-US"/>
              </w:rPr>
            </w:pPr>
            <w:r>
              <w:rPr>
                <w:rFonts w:ascii="Times New Roman" w:eastAsia="Times New Roman" w:hAnsi="Times New Roman"/>
                <w:lang w:val="en-US"/>
              </w:rPr>
              <w:t>Yes</w:t>
            </w:r>
          </w:p>
        </w:tc>
        <w:tc>
          <w:tcPr>
            <w:tcW w:w="1926" w:type="dxa"/>
            <w:tcBorders>
              <w:top w:val="single" w:sz="4" w:space="0" w:color="auto"/>
            </w:tcBorders>
            <w:vAlign w:val="center"/>
          </w:tcPr>
          <w:p w14:paraId="2F7FA012" w14:textId="6EE919E0" w:rsidR="009F4D98" w:rsidRDefault="003C5884" w:rsidP="00970B58">
            <w:pPr>
              <w:spacing w:line="480" w:lineRule="auto"/>
              <w:rPr>
                <w:rFonts w:ascii="Times New Roman" w:eastAsia="Times New Roman" w:hAnsi="Times New Roman"/>
                <w:lang w:val="en-US"/>
              </w:rPr>
            </w:pPr>
            <w:r>
              <w:rPr>
                <w:rFonts w:ascii="Times New Roman" w:eastAsia="Times New Roman" w:hAnsi="Times New Roman"/>
                <w:lang w:val="en-US"/>
              </w:rPr>
              <w:t>Yes</w:t>
            </w:r>
          </w:p>
        </w:tc>
        <w:tc>
          <w:tcPr>
            <w:tcW w:w="1926" w:type="dxa"/>
            <w:tcBorders>
              <w:top w:val="single" w:sz="4" w:space="0" w:color="auto"/>
            </w:tcBorders>
            <w:vAlign w:val="center"/>
          </w:tcPr>
          <w:p w14:paraId="4E2CB239" w14:textId="7F928F59" w:rsidR="009F4D98" w:rsidRDefault="003C5884" w:rsidP="00970B58">
            <w:pPr>
              <w:spacing w:line="480" w:lineRule="auto"/>
              <w:rPr>
                <w:rFonts w:ascii="Times New Roman" w:eastAsia="Times New Roman" w:hAnsi="Times New Roman"/>
                <w:lang w:val="en-US"/>
              </w:rPr>
            </w:pPr>
            <w:r>
              <w:rPr>
                <w:rFonts w:ascii="Times New Roman" w:eastAsia="Times New Roman" w:hAnsi="Times New Roman"/>
                <w:lang w:val="en-US"/>
              </w:rPr>
              <w:t>Yes</w:t>
            </w:r>
          </w:p>
        </w:tc>
        <w:tc>
          <w:tcPr>
            <w:tcW w:w="1926" w:type="dxa"/>
            <w:tcBorders>
              <w:top w:val="single" w:sz="4" w:space="0" w:color="auto"/>
            </w:tcBorders>
            <w:vAlign w:val="center"/>
          </w:tcPr>
          <w:p w14:paraId="23BE0CD3" w14:textId="3492359B" w:rsidR="009F4D98" w:rsidRDefault="003C5884" w:rsidP="00970B58">
            <w:pPr>
              <w:spacing w:line="480" w:lineRule="auto"/>
              <w:rPr>
                <w:rFonts w:ascii="Times New Roman" w:eastAsia="Times New Roman" w:hAnsi="Times New Roman"/>
                <w:lang w:val="en-US"/>
              </w:rPr>
            </w:pPr>
            <w:r>
              <w:rPr>
                <w:rFonts w:ascii="Times New Roman" w:eastAsia="Times New Roman" w:hAnsi="Times New Roman"/>
                <w:lang w:val="en-US"/>
              </w:rPr>
              <w:t>Yes</w:t>
            </w:r>
          </w:p>
        </w:tc>
      </w:tr>
      <w:tr w:rsidR="00757A8C" w:rsidRPr="00530F17" w14:paraId="629C09CF" w14:textId="77777777" w:rsidTr="00762427">
        <w:tc>
          <w:tcPr>
            <w:tcW w:w="1925" w:type="dxa"/>
            <w:vAlign w:val="center"/>
          </w:tcPr>
          <w:p w14:paraId="64EBD14F" w14:textId="4F65DD00" w:rsidR="00757A8C" w:rsidRDefault="00757A8C" w:rsidP="00970B58">
            <w:pPr>
              <w:spacing w:line="480" w:lineRule="auto"/>
              <w:rPr>
                <w:rFonts w:ascii="Times New Roman" w:eastAsia="Times New Roman" w:hAnsi="Times New Roman"/>
                <w:lang w:val="en-US"/>
              </w:rPr>
            </w:pPr>
            <w:r>
              <w:rPr>
                <w:rFonts w:ascii="Times New Roman" w:eastAsia="Times New Roman" w:hAnsi="Times New Roman"/>
                <w:lang w:val="en-US"/>
              </w:rPr>
              <w:t>Caregiving</w:t>
            </w:r>
          </w:p>
        </w:tc>
        <w:tc>
          <w:tcPr>
            <w:tcW w:w="1925" w:type="dxa"/>
            <w:shd w:val="clear" w:color="auto" w:fill="auto"/>
          </w:tcPr>
          <w:p w14:paraId="45C9AFAC" w14:textId="681F40EA" w:rsidR="00757A8C" w:rsidRPr="009E17E1"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No</w:t>
            </w:r>
          </w:p>
        </w:tc>
        <w:tc>
          <w:tcPr>
            <w:tcW w:w="1926" w:type="dxa"/>
            <w:shd w:val="clear" w:color="auto" w:fill="auto"/>
          </w:tcPr>
          <w:p w14:paraId="65652981" w14:textId="120A4766" w:rsidR="00757A8C" w:rsidRPr="009E17E1"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Currently no</w:t>
            </w:r>
          </w:p>
        </w:tc>
        <w:tc>
          <w:tcPr>
            <w:tcW w:w="1926" w:type="dxa"/>
          </w:tcPr>
          <w:p w14:paraId="74F639C3" w14:textId="2F61C73B"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Possible</w:t>
            </w:r>
          </w:p>
        </w:tc>
        <w:tc>
          <w:tcPr>
            <w:tcW w:w="1926" w:type="dxa"/>
            <w:vAlign w:val="center"/>
          </w:tcPr>
          <w:p w14:paraId="2512F05E" w14:textId="5524FE98"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Yes</w:t>
            </w:r>
          </w:p>
        </w:tc>
      </w:tr>
      <w:tr w:rsidR="00757A8C" w:rsidRPr="00530F17" w14:paraId="66A1E8F9" w14:textId="77777777" w:rsidTr="00164373">
        <w:tc>
          <w:tcPr>
            <w:tcW w:w="1925" w:type="dxa"/>
            <w:vAlign w:val="center"/>
          </w:tcPr>
          <w:p w14:paraId="73A413A0" w14:textId="11DC3799" w:rsidR="00757A8C" w:rsidRDefault="00757A8C" w:rsidP="00970B58">
            <w:pPr>
              <w:spacing w:line="480" w:lineRule="auto"/>
              <w:rPr>
                <w:rFonts w:ascii="Times New Roman" w:eastAsia="Times New Roman" w:hAnsi="Times New Roman"/>
                <w:lang w:val="en-US"/>
              </w:rPr>
            </w:pPr>
            <w:r>
              <w:rPr>
                <w:rFonts w:ascii="Times New Roman" w:eastAsia="Times New Roman" w:hAnsi="Times New Roman"/>
                <w:lang w:val="en-US"/>
              </w:rPr>
              <w:t>Volunteering</w:t>
            </w:r>
          </w:p>
        </w:tc>
        <w:tc>
          <w:tcPr>
            <w:tcW w:w="1925" w:type="dxa"/>
            <w:vAlign w:val="center"/>
          </w:tcPr>
          <w:p w14:paraId="7891D15D" w14:textId="0747F719"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No</w:t>
            </w:r>
          </w:p>
        </w:tc>
        <w:tc>
          <w:tcPr>
            <w:tcW w:w="1926" w:type="dxa"/>
            <w:vAlign w:val="center"/>
          </w:tcPr>
          <w:p w14:paraId="0D19E0E3" w14:textId="6EDF2071"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Possible</w:t>
            </w:r>
          </w:p>
        </w:tc>
        <w:tc>
          <w:tcPr>
            <w:tcW w:w="1926" w:type="dxa"/>
            <w:vAlign w:val="center"/>
          </w:tcPr>
          <w:p w14:paraId="34D520EF" w14:textId="00EC8F42" w:rsidR="00757A8C" w:rsidRPr="00530F17"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Quasi</w:t>
            </w:r>
          </w:p>
        </w:tc>
        <w:tc>
          <w:tcPr>
            <w:tcW w:w="1926" w:type="dxa"/>
          </w:tcPr>
          <w:p w14:paraId="6F5D3AB3" w14:textId="0E40825D"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Y</w:t>
            </w:r>
            <w:r w:rsidRPr="000A3369">
              <w:rPr>
                <w:rFonts w:ascii="Times New Roman" w:eastAsia="Times New Roman" w:hAnsi="Times New Roman"/>
                <w:lang w:val="en-US"/>
              </w:rPr>
              <w:t>es</w:t>
            </w:r>
          </w:p>
        </w:tc>
      </w:tr>
      <w:tr w:rsidR="00757A8C" w:rsidRPr="00530F17" w14:paraId="11828A63" w14:textId="77777777" w:rsidTr="00164373">
        <w:tc>
          <w:tcPr>
            <w:tcW w:w="1925" w:type="dxa"/>
            <w:vAlign w:val="center"/>
          </w:tcPr>
          <w:p w14:paraId="173124DE" w14:textId="0242B843" w:rsidR="00757A8C" w:rsidRDefault="00757A8C" w:rsidP="00970B58">
            <w:pPr>
              <w:spacing w:line="480" w:lineRule="auto"/>
              <w:rPr>
                <w:rFonts w:ascii="Times New Roman" w:eastAsia="Times New Roman" w:hAnsi="Times New Roman"/>
                <w:lang w:val="en-US"/>
              </w:rPr>
            </w:pPr>
            <w:r>
              <w:rPr>
                <w:rFonts w:ascii="Times New Roman" w:eastAsia="Times New Roman" w:hAnsi="Times New Roman"/>
                <w:lang w:val="en-US"/>
              </w:rPr>
              <w:t>Further education</w:t>
            </w:r>
          </w:p>
        </w:tc>
        <w:tc>
          <w:tcPr>
            <w:tcW w:w="1925" w:type="dxa"/>
            <w:vAlign w:val="center"/>
          </w:tcPr>
          <w:p w14:paraId="536003E2" w14:textId="5BD5E3C8"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Yes</w:t>
            </w:r>
          </w:p>
        </w:tc>
        <w:tc>
          <w:tcPr>
            <w:tcW w:w="1926" w:type="dxa"/>
            <w:vAlign w:val="center"/>
          </w:tcPr>
          <w:p w14:paraId="2581C786" w14:textId="37904543"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Possible</w:t>
            </w:r>
          </w:p>
        </w:tc>
        <w:tc>
          <w:tcPr>
            <w:tcW w:w="1926" w:type="dxa"/>
            <w:vAlign w:val="center"/>
          </w:tcPr>
          <w:p w14:paraId="7ED03206" w14:textId="34BDF627"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Y</w:t>
            </w:r>
            <w:r w:rsidR="00757A8C">
              <w:rPr>
                <w:rFonts w:ascii="Times New Roman" w:eastAsia="Times New Roman" w:hAnsi="Times New Roman"/>
                <w:lang w:val="en-US"/>
              </w:rPr>
              <w:t>es</w:t>
            </w:r>
          </w:p>
        </w:tc>
        <w:tc>
          <w:tcPr>
            <w:tcW w:w="1926" w:type="dxa"/>
          </w:tcPr>
          <w:p w14:paraId="141C01ED" w14:textId="769915B3" w:rsidR="00757A8C" w:rsidRDefault="007314F5" w:rsidP="00970B58">
            <w:pPr>
              <w:spacing w:line="480" w:lineRule="auto"/>
              <w:rPr>
                <w:rFonts w:ascii="Times New Roman" w:eastAsia="Times New Roman" w:hAnsi="Times New Roman"/>
                <w:lang w:val="en-US"/>
              </w:rPr>
            </w:pPr>
            <w:r>
              <w:rPr>
                <w:rFonts w:ascii="Times New Roman" w:eastAsia="Times New Roman" w:hAnsi="Times New Roman"/>
                <w:lang w:val="en-US"/>
              </w:rPr>
              <w:t>Y</w:t>
            </w:r>
            <w:r w:rsidR="00757A8C" w:rsidRPr="000A3369">
              <w:rPr>
                <w:rFonts w:ascii="Times New Roman" w:eastAsia="Times New Roman" w:hAnsi="Times New Roman"/>
                <w:lang w:val="en-US"/>
              </w:rPr>
              <w:t>es</w:t>
            </w:r>
          </w:p>
        </w:tc>
      </w:tr>
    </w:tbl>
    <w:p w14:paraId="20C3305D" w14:textId="77777777" w:rsidR="004F0D38" w:rsidRPr="00530F17" w:rsidRDefault="004F0D38" w:rsidP="00970B58">
      <w:pPr>
        <w:spacing w:line="480" w:lineRule="auto"/>
        <w:rPr>
          <w:rFonts w:ascii="Times New Roman" w:eastAsia="Times New Roman" w:hAnsi="Times New Roman"/>
          <w:b/>
          <w:bCs/>
          <w:color w:val="000000" w:themeColor="text1"/>
          <w:lang w:val="en-US"/>
        </w:rPr>
      </w:pPr>
    </w:p>
    <w:p w14:paraId="248609A6" w14:textId="7B231A60" w:rsidR="14F6236C" w:rsidRPr="003B480A" w:rsidRDefault="552DB059" w:rsidP="00970B58">
      <w:pPr>
        <w:spacing w:line="480" w:lineRule="auto"/>
        <w:rPr>
          <w:lang w:val="en-GB"/>
        </w:rPr>
      </w:pPr>
      <w:r w:rsidRPr="003B480A">
        <w:rPr>
          <w:rFonts w:ascii="Times New Roman" w:hAnsi="Times New Roman"/>
          <w:b/>
          <w:color w:val="000000" w:themeColor="text1"/>
          <w:lang w:val="en-GB"/>
        </w:rPr>
        <w:t>Discussion</w:t>
      </w:r>
      <w:r w:rsidR="004F0D38" w:rsidRPr="003B480A">
        <w:rPr>
          <w:rFonts w:ascii="Times New Roman" w:hAnsi="Times New Roman"/>
          <w:b/>
          <w:color w:val="000000" w:themeColor="text1"/>
          <w:lang w:val="en-GB"/>
        </w:rPr>
        <w:t xml:space="preserve"> and conclusion</w:t>
      </w:r>
    </w:p>
    <w:p w14:paraId="7C3964BE" w14:textId="056F2532" w:rsidR="009E1920" w:rsidRPr="00530F17" w:rsidRDefault="552DB059" w:rsidP="00970B58">
      <w:pPr>
        <w:spacing w:line="480" w:lineRule="auto"/>
        <w:rPr>
          <w:rFonts w:ascii="Times New Roman" w:hAnsi="Times New Roman"/>
          <w:lang w:val="en-GB"/>
        </w:rPr>
      </w:pPr>
      <w:r w:rsidRPr="552DB059">
        <w:rPr>
          <w:rFonts w:ascii="Times New Roman" w:eastAsia="Times New Roman" w:hAnsi="Times New Roman"/>
          <w:color w:val="000000" w:themeColor="text1"/>
          <w:lang w:val="en-GB"/>
        </w:rPr>
        <w:lastRenderedPageBreak/>
        <w:t xml:space="preserve">Atkinson’s idea </w:t>
      </w:r>
      <w:r w:rsidR="00A17D17">
        <w:rPr>
          <w:rFonts w:ascii="Times New Roman" w:eastAsia="Times New Roman" w:hAnsi="Times New Roman"/>
          <w:color w:val="000000" w:themeColor="text1"/>
          <w:lang w:val="en-GB"/>
        </w:rPr>
        <w:t>of a participation income</w:t>
      </w:r>
      <w:r w:rsidR="00ED5E4C">
        <w:rPr>
          <w:rFonts w:ascii="Times New Roman" w:eastAsia="Times New Roman" w:hAnsi="Times New Roman"/>
          <w:color w:val="000000" w:themeColor="text1"/>
          <w:lang w:val="en-GB"/>
        </w:rPr>
        <w:t xml:space="preserve"> was an attempt to render the basic income a politically more salient option for future minimum security. To do this, he unified the approach setting universal social protection and inclusion as the goal of welfare states with the approach declaring increased socially productive behaviour of adult citizens as the goal. As a side-effect, Atkinson </w:t>
      </w:r>
      <w:r w:rsidR="00377BA9">
        <w:rPr>
          <w:rFonts w:ascii="Times New Roman" w:eastAsia="Times New Roman" w:hAnsi="Times New Roman"/>
          <w:color w:val="000000" w:themeColor="text1"/>
          <w:lang w:val="en-GB"/>
        </w:rPr>
        <w:t>opened the floor for debates on what social participation is and how it can be recognized and rewarded in welfare states</w:t>
      </w:r>
      <w:r w:rsidR="007314F5">
        <w:rPr>
          <w:rFonts w:ascii="Times New Roman" w:eastAsia="Times New Roman" w:hAnsi="Times New Roman"/>
          <w:color w:val="000000" w:themeColor="text1"/>
          <w:lang w:val="en-GB"/>
        </w:rPr>
        <w:t xml:space="preserve"> and more specifically activation policies and basic social security benefits</w:t>
      </w:r>
      <w:r w:rsidR="00377BA9">
        <w:rPr>
          <w:rFonts w:ascii="Times New Roman" w:eastAsia="Times New Roman" w:hAnsi="Times New Roman"/>
          <w:color w:val="000000" w:themeColor="text1"/>
          <w:lang w:val="en-GB"/>
        </w:rPr>
        <w:t xml:space="preserve">. </w:t>
      </w:r>
      <w:r w:rsidR="009E1920">
        <w:rPr>
          <w:rFonts w:ascii="Times New Roman" w:eastAsia="Times New Roman" w:hAnsi="Times New Roman"/>
          <w:color w:val="000000" w:themeColor="text1"/>
          <w:lang w:val="en-GB"/>
        </w:rPr>
        <w:t xml:space="preserve">This articles explores how elements of the participation income were introduced in </w:t>
      </w:r>
      <w:r w:rsidR="009E1920" w:rsidRPr="00530F17">
        <w:rPr>
          <w:rFonts w:ascii="Times New Roman" w:hAnsi="Times New Roman"/>
          <w:lang w:val="en-GB"/>
        </w:rPr>
        <w:t xml:space="preserve">Denmark, Finland, Germany, and the Netherlands. It highlights which activities were counted as social participation in these countries and which </w:t>
      </w:r>
      <w:r w:rsidR="003D1F59" w:rsidRPr="00530F17">
        <w:rPr>
          <w:rFonts w:ascii="Times New Roman" w:hAnsi="Times New Roman"/>
          <w:lang w:val="en-GB"/>
        </w:rPr>
        <w:t xml:space="preserve">valuations stand behind these choices. </w:t>
      </w:r>
    </w:p>
    <w:p w14:paraId="03F00C49" w14:textId="69E26491" w:rsidR="005B23F7" w:rsidRPr="00530F17" w:rsidRDefault="00F25970" w:rsidP="00970B58">
      <w:pPr>
        <w:spacing w:line="480" w:lineRule="auto"/>
        <w:ind w:firstLine="737"/>
        <w:rPr>
          <w:rFonts w:ascii="Times New Roman" w:hAnsi="Times New Roman"/>
          <w:lang w:val="en-GB"/>
        </w:rPr>
      </w:pPr>
      <w:r w:rsidRPr="00530F17">
        <w:rPr>
          <w:rFonts w:ascii="Times New Roman" w:hAnsi="Times New Roman"/>
          <w:lang w:val="en-GB"/>
        </w:rPr>
        <w:t xml:space="preserve">Findings showed that </w:t>
      </w:r>
      <w:r w:rsidR="00416A87" w:rsidRPr="00530F17">
        <w:rPr>
          <w:rFonts w:ascii="Times New Roman" w:hAnsi="Times New Roman"/>
          <w:lang w:val="en-GB"/>
        </w:rPr>
        <w:t xml:space="preserve">the understanding of social participation is </w:t>
      </w:r>
      <w:r w:rsidR="00933BD7" w:rsidRPr="00933BD7">
        <w:rPr>
          <w:rFonts w:ascii="Times New Roman" w:hAnsi="Times New Roman"/>
          <w:lang w:val="en-GB"/>
        </w:rPr>
        <w:t>centred</w:t>
      </w:r>
      <w:r w:rsidR="00416A87" w:rsidRPr="00530F17">
        <w:rPr>
          <w:rFonts w:ascii="Times New Roman" w:hAnsi="Times New Roman"/>
          <w:lang w:val="en-GB"/>
        </w:rPr>
        <w:t xml:space="preserve"> on paid work</w:t>
      </w:r>
      <w:r w:rsidR="00A60D03" w:rsidRPr="00530F17">
        <w:rPr>
          <w:rFonts w:ascii="Times New Roman" w:hAnsi="Times New Roman"/>
          <w:lang w:val="en-GB"/>
        </w:rPr>
        <w:t xml:space="preserve">: elements of a participation income were introduced in the framework of active labour market policies, paid work </w:t>
      </w:r>
      <w:r w:rsidR="005917FF" w:rsidRPr="00530F17">
        <w:rPr>
          <w:rFonts w:ascii="Times New Roman" w:hAnsi="Times New Roman"/>
          <w:lang w:val="en-GB"/>
        </w:rPr>
        <w:t xml:space="preserve">is </w:t>
      </w:r>
      <w:r w:rsidR="00A60D03" w:rsidRPr="00530F17">
        <w:rPr>
          <w:rFonts w:ascii="Times New Roman" w:hAnsi="Times New Roman"/>
          <w:lang w:val="en-GB"/>
        </w:rPr>
        <w:t xml:space="preserve">considered a form of social participation in all countries, and the people who need to find alternative forms of social participation are the unemployed. </w:t>
      </w:r>
      <w:r w:rsidR="005B23F7" w:rsidRPr="00530F17">
        <w:rPr>
          <w:rFonts w:ascii="Times New Roman" w:hAnsi="Times New Roman"/>
          <w:lang w:val="en-GB"/>
        </w:rPr>
        <w:t xml:space="preserve">Caregiving was </w:t>
      </w:r>
      <w:r w:rsidR="007314F5">
        <w:rPr>
          <w:rFonts w:ascii="Times New Roman" w:hAnsi="Times New Roman"/>
          <w:lang w:val="en-GB"/>
        </w:rPr>
        <w:t xml:space="preserve">not generally </w:t>
      </w:r>
      <w:r w:rsidR="005B23F7" w:rsidRPr="00530F17">
        <w:rPr>
          <w:rFonts w:ascii="Times New Roman" w:hAnsi="Times New Roman"/>
          <w:lang w:val="en-GB"/>
        </w:rPr>
        <w:t>considered a form of social participation in all countries</w:t>
      </w:r>
      <w:r w:rsidR="005004B4" w:rsidRPr="00530F17">
        <w:rPr>
          <w:rFonts w:ascii="Times New Roman" w:hAnsi="Times New Roman"/>
          <w:lang w:val="en-GB"/>
        </w:rPr>
        <w:t>, although with country-differences</w:t>
      </w:r>
      <w:r w:rsidR="007314F5">
        <w:rPr>
          <w:rFonts w:ascii="Times New Roman" w:hAnsi="Times New Roman"/>
          <w:lang w:val="en-GB"/>
        </w:rPr>
        <w:t xml:space="preserve"> exists</w:t>
      </w:r>
      <w:r w:rsidR="005004B4" w:rsidRPr="00530F17">
        <w:rPr>
          <w:rFonts w:ascii="Times New Roman" w:hAnsi="Times New Roman"/>
          <w:lang w:val="en-GB"/>
        </w:rPr>
        <w:t xml:space="preserve">. Only the Netherlands consider caregiving to older people in addition to childcare, and in Denmark </w:t>
      </w:r>
      <w:r w:rsidR="0084175A" w:rsidRPr="00530F17">
        <w:rPr>
          <w:rFonts w:ascii="Times New Roman" w:hAnsi="Times New Roman"/>
          <w:lang w:val="en-GB"/>
        </w:rPr>
        <w:t xml:space="preserve">taking a parental leave reduced the </w:t>
      </w:r>
      <w:r w:rsidR="0096220E" w:rsidRPr="00530F17">
        <w:rPr>
          <w:rFonts w:ascii="Times New Roman" w:hAnsi="Times New Roman"/>
          <w:lang w:val="en-GB"/>
        </w:rPr>
        <w:t xml:space="preserve">amount of </w:t>
      </w:r>
      <w:r w:rsidR="0084175A" w:rsidRPr="00530F17">
        <w:rPr>
          <w:rFonts w:ascii="Times New Roman" w:hAnsi="Times New Roman"/>
          <w:lang w:val="en-GB"/>
        </w:rPr>
        <w:t xml:space="preserve">unemployment benefits. </w:t>
      </w:r>
      <w:r w:rsidR="0096220E" w:rsidRPr="00530F17">
        <w:rPr>
          <w:rFonts w:ascii="Times New Roman" w:hAnsi="Times New Roman"/>
          <w:lang w:val="en-GB"/>
        </w:rPr>
        <w:t>Considering that it is mainly women who provide care to children and older people</w:t>
      </w:r>
      <w:r w:rsidR="00027167" w:rsidRPr="00933BD7">
        <w:rPr>
          <w:rFonts w:ascii="Times New Roman" w:hAnsi="Times New Roman"/>
          <w:lang w:val="en-GB"/>
        </w:rPr>
        <w:t>,</w:t>
      </w:r>
      <w:r w:rsidR="00027167" w:rsidRPr="00530F17">
        <w:rPr>
          <w:rFonts w:ascii="Times New Roman" w:hAnsi="Times New Roman"/>
          <w:lang w:val="en-GB"/>
        </w:rPr>
        <w:t xml:space="preserve"> we can conclude that the participation income elements </w:t>
      </w:r>
      <w:r w:rsidR="00574B66" w:rsidRPr="00530F17">
        <w:rPr>
          <w:rFonts w:ascii="Times New Roman" w:hAnsi="Times New Roman"/>
          <w:lang w:val="en-GB"/>
        </w:rPr>
        <w:t xml:space="preserve">implemented </w:t>
      </w:r>
      <w:r w:rsidR="00027167" w:rsidRPr="00530F17">
        <w:rPr>
          <w:rFonts w:ascii="Times New Roman" w:hAnsi="Times New Roman"/>
          <w:lang w:val="en-GB"/>
        </w:rPr>
        <w:t>consider the situations of both men and women, but they respond better to the living situations of men.</w:t>
      </w:r>
      <w:r w:rsidR="002C57A9" w:rsidRPr="002C57A9">
        <w:rPr>
          <w:rFonts w:ascii="Times New Roman" w:hAnsi="Times New Roman"/>
          <w:vertAlign w:val="superscript"/>
          <w:lang w:val="en-GB"/>
        </w:rPr>
        <w:t>10</w:t>
      </w:r>
      <w:r w:rsidR="00027167" w:rsidRPr="00530F17">
        <w:rPr>
          <w:rFonts w:ascii="Times New Roman" w:hAnsi="Times New Roman"/>
          <w:lang w:val="en-GB"/>
        </w:rPr>
        <w:t xml:space="preserve"> </w:t>
      </w:r>
      <w:r w:rsidR="00574B66" w:rsidRPr="00530F17">
        <w:rPr>
          <w:rFonts w:ascii="Times New Roman" w:hAnsi="Times New Roman"/>
          <w:lang w:val="en-GB"/>
        </w:rPr>
        <w:t xml:space="preserve">Another form of social participation considered is volunteering. Volunteering is considered in all countries except Denmark, even though in Finland and Germany it is only considered as a means to get the long-term unemployed used to work again. </w:t>
      </w:r>
      <w:r w:rsidR="00B55356" w:rsidRPr="00530F17">
        <w:rPr>
          <w:rFonts w:ascii="Times New Roman" w:hAnsi="Times New Roman"/>
          <w:lang w:val="en-GB"/>
        </w:rPr>
        <w:t xml:space="preserve">Thus, in these countries it has an instrumental function. </w:t>
      </w:r>
      <w:r w:rsidR="00970B58" w:rsidRPr="00530F17">
        <w:rPr>
          <w:rFonts w:ascii="Times New Roman" w:hAnsi="Times New Roman"/>
          <w:lang w:val="en-GB"/>
        </w:rPr>
        <w:t>The final form of social participation considered is education. Again, the activity is valued as such only in the Netherlands, whereas it is considered as an instrument to facilitate the employability of the unemployed in all other countries.</w:t>
      </w:r>
      <w:r w:rsidR="00586F65" w:rsidRPr="00530F17">
        <w:rPr>
          <w:rFonts w:ascii="Times New Roman" w:hAnsi="Times New Roman"/>
          <w:lang w:val="en-GB"/>
        </w:rPr>
        <w:t xml:space="preserve"> </w:t>
      </w:r>
    </w:p>
    <w:p w14:paraId="3097F3F3" w14:textId="7F2DEF05" w:rsidR="00970B58" w:rsidRDefault="00586F65" w:rsidP="00E52188">
      <w:pPr>
        <w:spacing w:line="480" w:lineRule="auto"/>
        <w:ind w:firstLine="737"/>
        <w:rPr>
          <w:rFonts w:ascii="Times New Roman" w:eastAsia="Times New Roman" w:hAnsi="Times New Roman"/>
          <w:color w:val="000000" w:themeColor="text1"/>
          <w:lang w:val="en-GB"/>
        </w:rPr>
      </w:pPr>
      <w:r w:rsidRPr="00530F17">
        <w:rPr>
          <w:rFonts w:ascii="Times New Roman" w:hAnsi="Times New Roman"/>
          <w:lang w:val="en-GB"/>
        </w:rPr>
        <w:lastRenderedPageBreak/>
        <w:t xml:space="preserve">In a country-comparative perspective, Denmark </w:t>
      </w:r>
      <w:r w:rsidR="000C3B30" w:rsidRPr="00530F17">
        <w:rPr>
          <w:rFonts w:ascii="Times New Roman" w:hAnsi="Times New Roman"/>
          <w:lang w:val="en-GB"/>
        </w:rPr>
        <w:t xml:space="preserve">stands out </w:t>
      </w:r>
      <w:r w:rsidRPr="00530F17">
        <w:rPr>
          <w:rFonts w:ascii="Times New Roman" w:hAnsi="Times New Roman"/>
          <w:lang w:val="en-GB"/>
        </w:rPr>
        <w:t xml:space="preserve">because of its </w:t>
      </w:r>
      <w:r w:rsidR="004A2B87" w:rsidRPr="00530F17">
        <w:rPr>
          <w:rFonts w:ascii="Times New Roman" w:hAnsi="Times New Roman"/>
          <w:lang w:val="en-GB"/>
        </w:rPr>
        <w:t xml:space="preserve">narrow </w:t>
      </w:r>
      <w:r w:rsidRPr="00530F17">
        <w:rPr>
          <w:rFonts w:ascii="Times New Roman" w:hAnsi="Times New Roman"/>
          <w:lang w:val="en-GB"/>
        </w:rPr>
        <w:t>focus on work re-integration</w:t>
      </w:r>
      <w:r w:rsidR="004A2B87" w:rsidRPr="00530F17">
        <w:rPr>
          <w:rFonts w:ascii="Times New Roman" w:hAnsi="Times New Roman"/>
          <w:lang w:val="en-GB"/>
        </w:rPr>
        <w:t>;</w:t>
      </w:r>
      <w:r w:rsidRPr="00530F17">
        <w:rPr>
          <w:rFonts w:ascii="Times New Roman" w:hAnsi="Times New Roman"/>
          <w:lang w:val="en-GB"/>
        </w:rPr>
        <w:t xml:space="preserve"> </w:t>
      </w:r>
      <w:r w:rsidR="000C3B30" w:rsidRPr="00530F17">
        <w:rPr>
          <w:rFonts w:ascii="Times New Roman" w:hAnsi="Times New Roman"/>
          <w:lang w:val="en-GB"/>
        </w:rPr>
        <w:t>Finland because of its tailor-made reintegration plans</w:t>
      </w:r>
      <w:r w:rsidR="004A2B87" w:rsidRPr="00530F17">
        <w:rPr>
          <w:rFonts w:ascii="Times New Roman" w:hAnsi="Times New Roman"/>
          <w:lang w:val="en-GB"/>
        </w:rPr>
        <w:t>, which can include diverse forms of social participation;</w:t>
      </w:r>
      <w:r w:rsidR="000C3B30" w:rsidRPr="00530F17">
        <w:rPr>
          <w:rFonts w:ascii="Times New Roman" w:hAnsi="Times New Roman"/>
          <w:lang w:val="en-GB"/>
        </w:rPr>
        <w:t xml:space="preserve"> Germany because of </w:t>
      </w:r>
      <w:r w:rsidR="004A2B87" w:rsidRPr="00530F17">
        <w:rPr>
          <w:rFonts w:ascii="Times New Roman" w:hAnsi="Times New Roman"/>
          <w:lang w:val="en-GB"/>
        </w:rPr>
        <w:t>its diverse reform approaches to achieve work reintegration</w:t>
      </w:r>
      <w:r w:rsidR="0040394F" w:rsidRPr="00530F17">
        <w:rPr>
          <w:rFonts w:ascii="Times New Roman" w:hAnsi="Times New Roman"/>
          <w:lang w:val="en-GB"/>
        </w:rPr>
        <w:t xml:space="preserve"> and social participation;</w:t>
      </w:r>
      <w:r w:rsidR="004A2B87" w:rsidRPr="00530F17">
        <w:rPr>
          <w:rFonts w:ascii="Times New Roman" w:hAnsi="Times New Roman"/>
          <w:lang w:val="en-GB"/>
        </w:rPr>
        <w:t xml:space="preserve"> and the Netherlands because of their wide range of </w:t>
      </w:r>
      <w:r w:rsidRPr="00530F17">
        <w:rPr>
          <w:rFonts w:ascii="Times New Roman" w:hAnsi="Times New Roman"/>
          <w:lang w:val="en-GB"/>
        </w:rPr>
        <w:t>social participation</w:t>
      </w:r>
      <w:r w:rsidR="004A2B87" w:rsidRPr="00530F17">
        <w:rPr>
          <w:rFonts w:ascii="Times New Roman" w:hAnsi="Times New Roman"/>
          <w:lang w:val="en-GB"/>
        </w:rPr>
        <w:t xml:space="preserve"> forms considered.</w:t>
      </w:r>
      <w:r w:rsidR="0040394F" w:rsidRPr="00530F17">
        <w:rPr>
          <w:rFonts w:ascii="Times New Roman" w:hAnsi="Times New Roman"/>
          <w:lang w:val="en-GB"/>
        </w:rPr>
        <w:t xml:space="preserve"> </w:t>
      </w:r>
      <w:r w:rsidR="00472FEB" w:rsidRPr="00530F17">
        <w:rPr>
          <w:rFonts w:ascii="Times New Roman" w:hAnsi="Times New Roman"/>
          <w:lang w:val="en-GB"/>
        </w:rPr>
        <w:t xml:space="preserve">These country-differences signal that it is possible to implement elements of a participation income in social policies, </w:t>
      </w:r>
      <w:r w:rsidR="00E769A5" w:rsidRPr="00530F17">
        <w:rPr>
          <w:rFonts w:ascii="Times New Roman" w:hAnsi="Times New Roman"/>
          <w:lang w:val="en-GB"/>
        </w:rPr>
        <w:t xml:space="preserve">even </w:t>
      </w:r>
      <w:r w:rsidR="00E52188" w:rsidRPr="00530F17">
        <w:rPr>
          <w:rFonts w:ascii="Times New Roman" w:hAnsi="Times New Roman"/>
          <w:lang w:val="en-GB"/>
        </w:rPr>
        <w:t xml:space="preserve">in the framework of different welfare state types. The country-differences observed </w:t>
      </w:r>
      <w:r w:rsidR="002613F5" w:rsidRPr="00933BD7">
        <w:rPr>
          <w:rFonts w:ascii="Times New Roman" w:hAnsi="Times New Roman"/>
          <w:lang w:val="en-GB"/>
        </w:rPr>
        <w:t>underline</w:t>
      </w:r>
      <w:r w:rsidR="00E52188" w:rsidRPr="00530F17">
        <w:rPr>
          <w:rFonts w:ascii="Times New Roman" w:hAnsi="Times New Roman"/>
          <w:lang w:val="en-GB"/>
        </w:rPr>
        <w:t xml:space="preserve"> that a </w:t>
      </w:r>
      <w:r w:rsidR="00E52188" w:rsidRPr="552DB059">
        <w:rPr>
          <w:rFonts w:ascii="Times New Roman" w:eastAsia="Times New Roman" w:hAnsi="Times New Roman"/>
          <w:color w:val="000000" w:themeColor="text1"/>
          <w:lang w:val="en-GB"/>
        </w:rPr>
        <w:t>narrowly defined participation requirement and strict enforcement bring</w:t>
      </w:r>
      <w:r w:rsidR="00E52188">
        <w:rPr>
          <w:rFonts w:ascii="Times New Roman" w:eastAsia="Times New Roman" w:hAnsi="Times New Roman"/>
          <w:color w:val="000000" w:themeColor="text1"/>
          <w:lang w:val="en-GB"/>
        </w:rPr>
        <w:t>s</w:t>
      </w:r>
      <w:r w:rsidR="00E52188" w:rsidRPr="552DB059">
        <w:rPr>
          <w:rFonts w:ascii="Times New Roman" w:eastAsia="Times New Roman" w:hAnsi="Times New Roman"/>
          <w:color w:val="000000" w:themeColor="text1"/>
          <w:lang w:val="en-GB"/>
        </w:rPr>
        <w:t xml:space="preserve"> </w:t>
      </w:r>
      <w:r w:rsidR="00E52188">
        <w:rPr>
          <w:rFonts w:ascii="Times New Roman" w:eastAsia="Times New Roman" w:hAnsi="Times New Roman"/>
          <w:color w:val="000000" w:themeColor="text1"/>
          <w:lang w:val="en-GB"/>
        </w:rPr>
        <w:t xml:space="preserve">the participation income </w:t>
      </w:r>
      <w:r w:rsidR="00E52188" w:rsidRPr="552DB059">
        <w:rPr>
          <w:rFonts w:ascii="Times New Roman" w:eastAsia="Times New Roman" w:hAnsi="Times New Roman"/>
          <w:color w:val="000000" w:themeColor="text1"/>
          <w:lang w:val="en-GB"/>
        </w:rPr>
        <w:t>closer to a workfare progra</w:t>
      </w:r>
      <w:r w:rsidR="00E52188">
        <w:rPr>
          <w:rFonts w:ascii="Times New Roman" w:eastAsia="Times New Roman" w:hAnsi="Times New Roman"/>
          <w:color w:val="000000" w:themeColor="text1"/>
          <w:lang w:val="en-GB"/>
        </w:rPr>
        <w:t>m.</w:t>
      </w:r>
      <w:r w:rsidR="001D6C6F" w:rsidRPr="001D6C6F">
        <w:rPr>
          <w:rFonts w:ascii="Times New Roman" w:eastAsia="Times New Roman" w:hAnsi="Times New Roman"/>
          <w:color w:val="000000" w:themeColor="text1"/>
          <w:vertAlign w:val="superscript"/>
          <w:lang w:val="en-GB"/>
        </w:rPr>
        <w:t>11</w:t>
      </w:r>
      <w:r w:rsidR="00E52188">
        <w:rPr>
          <w:rFonts w:ascii="Times New Roman" w:eastAsia="Times New Roman" w:hAnsi="Times New Roman"/>
          <w:color w:val="000000" w:themeColor="text1"/>
          <w:lang w:val="en-GB"/>
        </w:rPr>
        <w:t xml:space="preserve"> </w:t>
      </w:r>
      <w:r w:rsidR="00A40B3E">
        <w:rPr>
          <w:rFonts w:ascii="Times New Roman" w:eastAsia="Times New Roman" w:hAnsi="Times New Roman"/>
          <w:color w:val="000000" w:themeColor="text1"/>
          <w:lang w:val="en-GB"/>
        </w:rPr>
        <w:t>In contrast, a wide</w:t>
      </w:r>
      <w:r w:rsidR="00D335E7">
        <w:rPr>
          <w:rFonts w:ascii="Times New Roman" w:eastAsia="Times New Roman" w:hAnsi="Times New Roman"/>
          <w:color w:val="000000" w:themeColor="text1"/>
          <w:lang w:val="en-GB"/>
        </w:rPr>
        <w:t>r</w:t>
      </w:r>
      <w:r w:rsidR="00A40B3E">
        <w:rPr>
          <w:rFonts w:ascii="Times New Roman" w:eastAsia="Times New Roman" w:hAnsi="Times New Roman"/>
          <w:color w:val="000000" w:themeColor="text1"/>
          <w:lang w:val="en-GB"/>
        </w:rPr>
        <w:t xml:space="preserve"> definition of social participation </w:t>
      </w:r>
      <w:r w:rsidR="00D335E7">
        <w:rPr>
          <w:rFonts w:ascii="Times New Roman" w:eastAsia="Times New Roman" w:hAnsi="Times New Roman"/>
          <w:color w:val="000000" w:themeColor="text1"/>
          <w:lang w:val="en-GB"/>
        </w:rPr>
        <w:t xml:space="preserve">leads to a greater acknowledgement of the different activities that people engage in and of gender-differences in social participation. </w:t>
      </w:r>
      <w:r w:rsidR="0069145E">
        <w:rPr>
          <w:rFonts w:ascii="Times New Roman" w:eastAsia="Times New Roman" w:hAnsi="Times New Roman"/>
          <w:color w:val="000000" w:themeColor="text1"/>
          <w:lang w:val="en-GB"/>
        </w:rPr>
        <w:t>The same applies to relationship between participation income and universal basic income: the wider the range of activities awarded with participation income, the closer the model comes to basic income.</w:t>
      </w:r>
    </w:p>
    <w:p w14:paraId="21ED2726" w14:textId="0FF5EE38" w:rsidR="14F6236C" w:rsidRPr="00530F17" w:rsidRDefault="00880B44" w:rsidP="00DE5FBD">
      <w:pPr>
        <w:spacing w:line="480" w:lineRule="auto"/>
        <w:ind w:firstLine="737"/>
        <w:rPr>
          <w:rFonts w:ascii="Times New Roman" w:hAnsi="Times New Roman"/>
          <w:highlight w:val="yellow"/>
          <w:lang w:val="en-GB"/>
        </w:rPr>
      </w:pPr>
      <w:r>
        <w:rPr>
          <w:rFonts w:ascii="Times New Roman" w:eastAsia="Times New Roman" w:hAnsi="Times New Roman"/>
          <w:color w:val="000000" w:themeColor="text1"/>
          <w:lang w:val="en-GB"/>
        </w:rPr>
        <w:t xml:space="preserve">Taken together, </w:t>
      </w:r>
      <w:r w:rsidR="003201B3">
        <w:rPr>
          <w:rFonts w:ascii="Times New Roman" w:eastAsia="Times New Roman" w:hAnsi="Times New Roman"/>
          <w:color w:val="000000" w:themeColor="text1"/>
          <w:lang w:val="en-GB"/>
        </w:rPr>
        <w:t xml:space="preserve">Atkinson’s idea of a participation income provides </w:t>
      </w:r>
      <w:r w:rsidR="0069145E">
        <w:rPr>
          <w:rFonts w:ascii="Times New Roman" w:eastAsia="Times New Roman" w:hAnsi="Times New Roman"/>
          <w:color w:val="000000" w:themeColor="text1"/>
          <w:lang w:val="en-GB"/>
        </w:rPr>
        <w:t xml:space="preserve">an alternative </w:t>
      </w:r>
      <w:r w:rsidR="003201B3">
        <w:rPr>
          <w:rFonts w:ascii="Times New Roman" w:eastAsia="Times New Roman" w:hAnsi="Times New Roman"/>
          <w:color w:val="000000" w:themeColor="text1"/>
          <w:lang w:val="en-GB"/>
        </w:rPr>
        <w:t xml:space="preserve">a </w:t>
      </w:r>
      <w:r w:rsidR="001028D7">
        <w:rPr>
          <w:rFonts w:ascii="Times New Roman" w:eastAsia="Times New Roman" w:hAnsi="Times New Roman"/>
          <w:color w:val="000000" w:themeColor="text1"/>
          <w:lang w:val="en-GB"/>
        </w:rPr>
        <w:t xml:space="preserve">starting point </w:t>
      </w:r>
      <w:r w:rsidR="0069145E">
        <w:rPr>
          <w:rFonts w:ascii="Times New Roman" w:eastAsia="Times New Roman" w:hAnsi="Times New Roman"/>
          <w:color w:val="000000" w:themeColor="text1"/>
          <w:lang w:val="en-GB"/>
        </w:rPr>
        <w:t xml:space="preserve">to basic income </w:t>
      </w:r>
      <w:r w:rsidR="001028D7">
        <w:rPr>
          <w:rFonts w:ascii="Times New Roman" w:eastAsia="Times New Roman" w:hAnsi="Times New Roman"/>
          <w:color w:val="000000" w:themeColor="text1"/>
          <w:lang w:val="en-GB"/>
        </w:rPr>
        <w:t xml:space="preserve">for turning society into a lively group of interacting individuals, and for striking a balance between welfare state benefits and contributions. As a side-effect, it also </w:t>
      </w:r>
      <w:r w:rsidR="00B022E2">
        <w:rPr>
          <w:rFonts w:ascii="Times New Roman" w:eastAsia="Times New Roman" w:hAnsi="Times New Roman"/>
          <w:color w:val="000000" w:themeColor="text1"/>
          <w:lang w:val="en-GB"/>
        </w:rPr>
        <w:t xml:space="preserve">provides an opportunity to adapt to social change and highlight activities that receive growing attention and acknowledgement in society, such as caregiving and volunteering. </w:t>
      </w:r>
      <w:r w:rsidR="00D73AA1">
        <w:rPr>
          <w:rFonts w:ascii="Times New Roman" w:eastAsia="Times New Roman" w:hAnsi="Times New Roman"/>
          <w:color w:val="000000" w:themeColor="text1"/>
          <w:lang w:val="en-GB"/>
        </w:rPr>
        <w:t xml:space="preserve">Depending on how the participation income is implemented, it can </w:t>
      </w:r>
      <w:r w:rsidR="00E867D2">
        <w:rPr>
          <w:rFonts w:ascii="Times New Roman" w:eastAsia="Times New Roman" w:hAnsi="Times New Roman"/>
          <w:color w:val="000000" w:themeColor="text1"/>
          <w:lang w:val="en-GB"/>
        </w:rPr>
        <w:t xml:space="preserve">lean more towards realizing its social potential or towards being a tool for reintegrating the long-term unemployed into the labour market. </w:t>
      </w:r>
      <w:r w:rsidR="00DE5FBD">
        <w:rPr>
          <w:rFonts w:ascii="Times New Roman" w:eastAsia="Times New Roman" w:hAnsi="Times New Roman"/>
          <w:color w:val="000000" w:themeColor="text1"/>
          <w:lang w:val="en-GB"/>
        </w:rPr>
        <w:t xml:space="preserve">This versatility ensures that the participation income can continue to inspire policymaking across countries for a long time to come. </w:t>
      </w:r>
    </w:p>
    <w:p w14:paraId="27DC204D" w14:textId="0FCBC48C" w:rsidR="243A52D1" w:rsidRPr="00530F17" w:rsidRDefault="243A52D1" w:rsidP="00516E0F">
      <w:pPr>
        <w:spacing w:line="480" w:lineRule="auto"/>
        <w:rPr>
          <w:rFonts w:ascii="Times New Roman" w:hAnsi="Times New Roman"/>
          <w:b/>
          <w:lang w:val="en-GB"/>
        </w:rPr>
      </w:pPr>
    </w:p>
    <w:p w14:paraId="3FF9A630" w14:textId="6769505C" w:rsidR="00C70DA1" w:rsidRDefault="00C70DA1" w:rsidP="009A2FD0">
      <w:pPr>
        <w:spacing w:line="480" w:lineRule="auto"/>
        <w:ind w:left="737" w:hanging="737"/>
        <w:rPr>
          <w:rFonts w:ascii="Times New Roman" w:hAnsi="Times New Roman"/>
          <w:b/>
          <w:lang w:val="en-GB"/>
        </w:rPr>
      </w:pPr>
      <w:r>
        <w:rPr>
          <w:rFonts w:ascii="Times New Roman" w:hAnsi="Times New Roman"/>
          <w:b/>
          <w:lang w:val="en-GB"/>
        </w:rPr>
        <w:t>Notes</w:t>
      </w:r>
    </w:p>
    <w:p w14:paraId="1614028F" w14:textId="4D751ABA" w:rsidR="003B480A" w:rsidRDefault="00C70DA1" w:rsidP="006C22AA">
      <w:pPr>
        <w:spacing w:line="480" w:lineRule="auto"/>
        <w:ind w:left="737" w:hanging="737"/>
        <w:rPr>
          <w:rFonts w:ascii="Times New Roman" w:hAnsi="Times New Roman"/>
          <w:lang w:val="en-GB"/>
        </w:rPr>
      </w:pPr>
      <w:r w:rsidRPr="00C70DA1">
        <w:rPr>
          <w:rFonts w:ascii="Times New Roman" w:hAnsi="Times New Roman"/>
          <w:vertAlign w:val="superscript"/>
          <w:lang w:val="en-GB"/>
        </w:rPr>
        <w:lastRenderedPageBreak/>
        <w:t>1</w:t>
      </w:r>
      <w:r>
        <w:rPr>
          <w:rFonts w:ascii="Times New Roman" w:hAnsi="Times New Roman"/>
          <w:lang w:val="en-GB"/>
        </w:rPr>
        <w:t xml:space="preserve"> </w:t>
      </w:r>
      <w:r w:rsidR="00DE0026">
        <w:rPr>
          <w:rFonts w:ascii="Times New Roman" w:hAnsi="Times New Roman"/>
          <w:lang w:val="en-GB"/>
        </w:rPr>
        <w:t>See A.</w:t>
      </w:r>
      <w:r w:rsidR="004529A2">
        <w:rPr>
          <w:rFonts w:ascii="Times New Roman" w:hAnsi="Times New Roman"/>
          <w:lang w:val="en-GB"/>
        </w:rPr>
        <w:t>B.</w:t>
      </w:r>
      <w:r w:rsidRPr="00C70DA1">
        <w:rPr>
          <w:rFonts w:ascii="Times New Roman" w:hAnsi="Times New Roman"/>
          <w:lang w:val="en-GB"/>
        </w:rPr>
        <w:t xml:space="preserve">Atkinson, </w:t>
      </w:r>
      <w:r w:rsidR="004529A2">
        <w:rPr>
          <w:rFonts w:ascii="Times New Roman" w:hAnsi="Times New Roman"/>
          <w:lang w:val="en-GB"/>
        </w:rPr>
        <w:t>‘</w:t>
      </w:r>
      <w:r w:rsidRPr="00C70DA1">
        <w:rPr>
          <w:rFonts w:ascii="Times New Roman" w:hAnsi="Times New Roman"/>
          <w:lang w:val="en-GB"/>
        </w:rPr>
        <w:t>The Case for a Participation Income</w:t>
      </w:r>
      <w:r w:rsidR="004529A2">
        <w:rPr>
          <w:rFonts w:ascii="Times New Roman" w:hAnsi="Times New Roman"/>
          <w:lang w:val="en-GB"/>
        </w:rPr>
        <w:t>’,</w:t>
      </w:r>
      <w:r w:rsidRPr="00C70DA1">
        <w:rPr>
          <w:rFonts w:ascii="Times New Roman" w:hAnsi="Times New Roman"/>
          <w:lang w:val="en-GB"/>
        </w:rPr>
        <w:t xml:space="preserve"> </w:t>
      </w:r>
      <w:r w:rsidRPr="004529A2">
        <w:rPr>
          <w:rFonts w:ascii="Times New Roman" w:hAnsi="Times New Roman"/>
          <w:i/>
          <w:lang w:val="en-GB"/>
        </w:rPr>
        <w:t>The Political Quarterly</w:t>
      </w:r>
      <w:r w:rsidRPr="00C70DA1">
        <w:rPr>
          <w:rFonts w:ascii="Times New Roman" w:hAnsi="Times New Roman"/>
          <w:lang w:val="en-GB"/>
        </w:rPr>
        <w:t>,</w:t>
      </w:r>
      <w:r w:rsidR="00D662F3">
        <w:rPr>
          <w:rFonts w:ascii="Times New Roman" w:hAnsi="Times New Roman"/>
          <w:lang w:val="en-GB"/>
        </w:rPr>
        <w:t xml:space="preserve"> </w:t>
      </w:r>
      <w:r w:rsidR="004529A2">
        <w:rPr>
          <w:rFonts w:ascii="Times New Roman" w:hAnsi="Times New Roman"/>
          <w:lang w:val="en-GB"/>
        </w:rPr>
        <w:t>vol.</w:t>
      </w:r>
      <w:r w:rsidRPr="00C70DA1">
        <w:rPr>
          <w:rFonts w:ascii="Times New Roman" w:hAnsi="Times New Roman"/>
          <w:lang w:val="en-GB"/>
        </w:rPr>
        <w:t xml:space="preserve"> 67</w:t>
      </w:r>
      <w:r w:rsidR="004529A2">
        <w:rPr>
          <w:rFonts w:ascii="Times New Roman" w:hAnsi="Times New Roman"/>
          <w:lang w:val="en-GB"/>
        </w:rPr>
        <w:t>, no. 1</w:t>
      </w:r>
      <w:r w:rsidRPr="00C70DA1">
        <w:rPr>
          <w:rFonts w:ascii="Times New Roman" w:hAnsi="Times New Roman"/>
          <w:lang w:val="en-GB"/>
        </w:rPr>
        <w:t>,</w:t>
      </w:r>
      <w:r w:rsidR="004529A2">
        <w:rPr>
          <w:rFonts w:ascii="Times New Roman" w:hAnsi="Times New Roman"/>
          <w:lang w:val="en-GB"/>
        </w:rPr>
        <w:t xml:space="preserve"> 1996, pp.</w:t>
      </w:r>
      <w:r w:rsidRPr="00C70DA1">
        <w:rPr>
          <w:rFonts w:ascii="Times New Roman" w:hAnsi="Times New Roman"/>
          <w:lang w:val="en-GB"/>
        </w:rPr>
        <w:t xml:space="preserve"> 67-70</w:t>
      </w:r>
      <w:r w:rsidR="006C22AA">
        <w:rPr>
          <w:rFonts w:ascii="Times New Roman" w:hAnsi="Times New Roman"/>
          <w:lang w:val="en-GB"/>
        </w:rPr>
        <w:t xml:space="preserve">; and </w:t>
      </w:r>
      <w:r w:rsidR="003B480A">
        <w:rPr>
          <w:rFonts w:ascii="Times New Roman" w:hAnsi="Times New Roman"/>
          <w:lang w:val="en-GB"/>
        </w:rPr>
        <w:t xml:space="preserve">A.B. Atkinson, </w:t>
      </w:r>
      <w:r w:rsidR="003B480A" w:rsidRPr="003B480A">
        <w:rPr>
          <w:rFonts w:ascii="Times New Roman" w:hAnsi="Times New Roman"/>
          <w:i/>
          <w:lang w:val="en-GB"/>
        </w:rPr>
        <w:t>Inequality. What Can Be Done?</w:t>
      </w:r>
      <w:r w:rsidR="003B480A">
        <w:rPr>
          <w:rFonts w:ascii="Times New Roman" w:hAnsi="Times New Roman"/>
          <w:lang w:val="en-GB"/>
        </w:rPr>
        <w:t xml:space="preserve">, Harvard, Harvard University Press, 2015. </w:t>
      </w:r>
    </w:p>
    <w:p w14:paraId="455401D4" w14:textId="314FF7FF" w:rsidR="00DE0026" w:rsidRPr="00530F17" w:rsidRDefault="006C22AA" w:rsidP="00DE0026">
      <w:pPr>
        <w:spacing w:line="480" w:lineRule="auto"/>
        <w:ind w:left="737" w:hanging="737"/>
        <w:rPr>
          <w:rFonts w:ascii="Times New Roman" w:hAnsi="Times New Roman"/>
          <w:lang w:val="en-GB"/>
        </w:rPr>
      </w:pPr>
      <w:r>
        <w:rPr>
          <w:rFonts w:ascii="Times New Roman" w:hAnsi="Times New Roman"/>
          <w:vertAlign w:val="superscript"/>
          <w:lang w:val="en-GB"/>
        </w:rPr>
        <w:t>2</w:t>
      </w:r>
      <w:r w:rsidR="00DE0026">
        <w:rPr>
          <w:rFonts w:ascii="Times New Roman" w:hAnsi="Times New Roman"/>
          <w:lang w:val="en-GB"/>
        </w:rPr>
        <w:t xml:space="preserve"> See J.A. Burr, F.G. Caro and J. Moorhead, ‘Productive aging and civic participation’, </w:t>
      </w:r>
      <w:r w:rsidR="00DE0026">
        <w:rPr>
          <w:rFonts w:ascii="Times New Roman" w:hAnsi="Times New Roman"/>
          <w:i/>
          <w:lang w:val="en-GB"/>
        </w:rPr>
        <w:t>Journal of Aging Studies</w:t>
      </w:r>
      <w:r w:rsidR="00DE0026">
        <w:rPr>
          <w:rFonts w:ascii="Times New Roman" w:hAnsi="Times New Roman"/>
          <w:lang w:val="en-GB"/>
        </w:rPr>
        <w:t xml:space="preserve">, vol. 16, no. 1, 2002, pp. 87-105; and F. Hoffmann and T. Lemieux, ‘Unemployment in the Great Recession: A comparison of Germany, Canada, and the United States’, </w:t>
      </w:r>
      <w:r w:rsidR="00DE0026">
        <w:rPr>
          <w:rFonts w:ascii="Times New Roman" w:hAnsi="Times New Roman"/>
          <w:i/>
          <w:lang w:val="en-GB"/>
        </w:rPr>
        <w:t>Journal of Labor Economics</w:t>
      </w:r>
      <w:r w:rsidR="00DE0026">
        <w:rPr>
          <w:rFonts w:ascii="Times New Roman" w:hAnsi="Times New Roman"/>
          <w:lang w:val="en-GB"/>
        </w:rPr>
        <w:t>, vol. 34, no. S1, 2016, pp. S95-S139; and H. K</w:t>
      </w:r>
      <w:r w:rsidR="00D662F3">
        <w:rPr>
          <w:rFonts w:ascii="Times New Roman" w:hAnsi="Times New Roman"/>
          <w:lang w:val="en-GB"/>
        </w:rPr>
        <w:t>l</w:t>
      </w:r>
      <w:r w:rsidR="00DE0026">
        <w:rPr>
          <w:rFonts w:ascii="Times New Roman" w:hAnsi="Times New Roman"/>
          <w:lang w:val="en-GB"/>
        </w:rPr>
        <w:t xml:space="preserve">eider, ‘Paid and unpaid work: The impact of social policies on the gender division of labour’, </w:t>
      </w:r>
      <w:r w:rsidR="00DE0026">
        <w:rPr>
          <w:rFonts w:ascii="Times New Roman" w:hAnsi="Times New Roman"/>
          <w:i/>
          <w:lang w:val="en-GB"/>
        </w:rPr>
        <w:t>Journal of European Social Policy</w:t>
      </w:r>
      <w:r w:rsidR="00DE0026">
        <w:rPr>
          <w:rFonts w:ascii="Times New Roman" w:hAnsi="Times New Roman"/>
          <w:lang w:val="en-GB"/>
        </w:rPr>
        <w:t>, vol. 25, no. 5, 2015, pp. 505-520.</w:t>
      </w:r>
    </w:p>
    <w:p w14:paraId="64AA5966" w14:textId="3D061975" w:rsidR="00550F4C" w:rsidRPr="00530F17" w:rsidRDefault="006C22AA" w:rsidP="00550F4C">
      <w:pPr>
        <w:spacing w:line="480" w:lineRule="auto"/>
        <w:ind w:left="737" w:hanging="737"/>
        <w:rPr>
          <w:rFonts w:ascii="Times New Roman" w:hAnsi="Times New Roman"/>
          <w:highlight w:val="yellow"/>
          <w:lang w:val="en-GB"/>
        </w:rPr>
      </w:pPr>
      <w:r w:rsidRPr="006C22AA">
        <w:rPr>
          <w:rFonts w:ascii="Times New Roman" w:hAnsi="Times New Roman"/>
          <w:vertAlign w:val="superscript"/>
          <w:lang w:val="en-GB"/>
        </w:rPr>
        <w:t>3</w:t>
      </w:r>
      <w:r w:rsidR="00550F4C">
        <w:rPr>
          <w:rFonts w:ascii="Times New Roman" w:hAnsi="Times New Roman"/>
          <w:lang w:val="en-GB"/>
        </w:rPr>
        <w:t xml:space="preserve"> See J.H. Carens, ‘An overview of the ethics of immigration’, </w:t>
      </w:r>
      <w:r w:rsidR="00550F4C">
        <w:rPr>
          <w:rFonts w:ascii="Times New Roman" w:hAnsi="Times New Roman"/>
          <w:i/>
          <w:lang w:val="en-GB"/>
        </w:rPr>
        <w:t>Critical Review of the Ethics of Immigration</w:t>
      </w:r>
      <w:r w:rsidR="00550F4C">
        <w:rPr>
          <w:rFonts w:ascii="Times New Roman" w:hAnsi="Times New Roman"/>
          <w:lang w:val="en-GB"/>
        </w:rPr>
        <w:t xml:space="preserve">, vol. 17, no. 5, 2014, pp. 538-559; and Y.-S. Lee and L.J. Waite, ‘Husbands’ and wives’ time spent on housework: A comparison of measures’, </w:t>
      </w:r>
      <w:r w:rsidR="00550F4C">
        <w:rPr>
          <w:rFonts w:ascii="Times New Roman" w:hAnsi="Times New Roman"/>
          <w:i/>
          <w:lang w:val="en-GB"/>
        </w:rPr>
        <w:t>Journal of Marriage and Family</w:t>
      </w:r>
      <w:r w:rsidR="00550F4C">
        <w:rPr>
          <w:rFonts w:ascii="Times New Roman" w:hAnsi="Times New Roman"/>
          <w:lang w:val="en-GB"/>
        </w:rPr>
        <w:t xml:space="preserve">, vol. 67, no. 2, pp. 328-336. </w:t>
      </w:r>
    </w:p>
    <w:p w14:paraId="73B8DF09" w14:textId="5C29EA11" w:rsidR="005F0D8A" w:rsidRPr="009260C5" w:rsidRDefault="005F0D8A" w:rsidP="001718A8">
      <w:pPr>
        <w:spacing w:line="480" w:lineRule="auto"/>
        <w:ind w:left="737" w:hanging="737"/>
        <w:rPr>
          <w:rFonts w:ascii="Times New Roman" w:hAnsi="Times New Roman"/>
          <w:lang w:val="en-GB"/>
        </w:rPr>
      </w:pPr>
      <w:r w:rsidRPr="003E332D">
        <w:rPr>
          <w:rFonts w:ascii="Times New Roman" w:hAnsi="Times New Roman"/>
          <w:vertAlign w:val="superscript"/>
          <w:lang w:val="en-GB"/>
        </w:rPr>
        <w:t>4</w:t>
      </w:r>
      <w:r>
        <w:rPr>
          <w:rFonts w:ascii="Times New Roman" w:hAnsi="Times New Roman"/>
          <w:lang w:val="en-GB"/>
        </w:rPr>
        <w:t xml:space="preserve"> See R. Van Berkel and I.H. Moller, </w:t>
      </w:r>
      <w:r>
        <w:rPr>
          <w:rFonts w:ascii="Times New Roman" w:hAnsi="Times New Roman"/>
          <w:i/>
          <w:lang w:val="en-GB"/>
        </w:rPr>
        <w:t>Active Social Policies in the EU. Inclusion Through Participation</w:t>
      </w:r>
      <w:r>
        <w:rPr>
          <w:rFonts w:ascii="Times New Roman" w:hAnsi="Times New Roman"/>
          <w:lang w:val="en-GB"/>
        </w:rPr>
        <w:t xml:space="preserve">, Bristol, Policy Press, 2002; and H. Hiilamo, K. Komp, P. Moisio, T. Babila Sama, J.-P. Lauronen, A. Karimo, P. Mäntyneva, A. Parpo and H. Aaltonen, </w:t>
      </w:r>
      <w:r w:rsidRPr="005F0D8A">
        <w:rPr>
          <w:rFonts w:ascii="Times New Roman" w:hAnsi="Times New Roman"/>
          <w:i/>
          <w:lang w:val="en-GB"/>
        </w:rPr>
        <w:t>Neljä osallistavan sosiaaliturvan mallia [Four Models of Participatory Social Security]</w:t>
      </w:r>
      <w:r>
        <w:rPr>
          <w:rFonts w:ascii="Times New Roman" w:hAnsi="Times New Roman"/>
          <w:lang w:val="en-GB"/>
        </w:rPr>
        <w:t xml:space="preserve">, Helsinki, The Finnish Prime Minister’s Offive, 2017; and J. Kluve, </w:t>
      </w:r>
      <w:r w:rsidR="009260C5">
        <w:rPr>
          <w:rFonts w:ascii="Times New Roman" w:hAnsi="Times New Roman"/>
          <w:i/>
          <w:lang w:val="en-GB"/>
        </w:rPr>
        <w:t>The Effectiveness of European Active Labour Market Policy</w:t>
      </w:r>
      <w:r w:rsidR="009260C5">
        <w:rPr>
          <w:rFonts w:ascii="Times New Roman" w:hAnsi="Times New Roman"/>
          <w:lang w:val="en-GB"/>
        </w:rPr>
        <w:t xml:space="preserve">, RWI Discussion Papers, No. 37, 2006, </w:t>
      </w:r>
      <w:r w:rsidR="009260C5" w:rsidRPr="009260C5">
        <w:rPr>
          <w:rFonts w:ascii="Times New Roman" w:hAnsi="Times New Roman"/>
          <w:lang w:val="en-GB"/>
        </w:rPr>
        <w:t>http://ftp.iza.org/dp2018.pdf</w:t>
      </w:r>
      <w:r w:rsidR="009260C5">
        <w:rPr>
          <w:rFonts w:ascii="Times New Roman" w:hAnsi="Times New Roman"/>
          <w:lang w:val="en-GB"/>
        </w:rPr>
        <w:t xml:space="preserve"> (accessed July 02, 2017). </w:t>
      </w:r>
    </w:p>
    <w:p w14:paraId="35ACC92C" w14:textId="5212B29E" w:rsidR="00926909" w:rsidRPr="00530F17" w:rsidRDefault="00926909" w:rsidP="001718A8">
      <w:pPr>
        <w:spacing w:line="480" w:lineRule="auto"/>
        <w:ind w:left="737" w:hanging="737"/>
        <w:rPr>
          <w:rFonts w:ascii="Times New Roman" w:hAnsi="Times New Roman"/>
          <w:highlight w:val="yellow"/>
          <w:lang w:val="en-GB"/>
        </w:rPr>
      </w:pPr>
      <w:r w:rsidRPr="00494EFF">
        <w:rPr>
          <w:rFonts w:ascii="Times New Roman" w:hAnsi="Times New Roman"/>
          <w:vertAlign w:val="superscript"/>
          <w:lang w:val="en-GB"/>
        </w:rPr>
        <w:t>5</w:t>
      </w:r>
      <w:r>
        <w:rPr>
          <w:rFonts w:ascii="Times New Roman" w:hAnsi="Times New Roman"/>
          <w:lang w:val="en-GB"/>
        </w:rPr>
        <w:t xml:space="preserve"> See T. Bredgaard, F. Larsen and F.K. Madsen, ‘Opportunity and challenges for flexicurity – The Danish example’, </w:t>
      </w:r>
      <w:r>
        <w:rPr>
          <w:rFonts w:ascii="Times New Roman" w:hAnsi="Times New Roman"/>
          <w:i/>
          <w:lang w:val="en-GB"/>
        </w:rPr>
        <w:t>Transfer: European Review of Labour and Research</w:t>
      </w:r>
      <w:r>
        <w:rPr>
          <w:rFonts w:ascii="Times New Roman" w:hAnsi="Times New Roman"/>
          <w:lang w:val="en-GB"/>
        </w:rPr>
        <w:t xml:space="preserve">, vol. 12, nr. 1, 2006, pp. 61-82; and L.P. Geerdsen, ‘Is there a threat effect of labour market programmes? A study of ALMP in the Danish UI system’, </w:t>
      </w:r>
      <w:r>
        <w:rPr>
          <w:rFonts w:ascii="Times New Roman" w:hAnsi="Times New Roman"/>
          <w:i/>
          <w:lang w:val="en-GB"/>
        </w:rPr>
        <w:t>The Economic Journal</w:t>
      </w:r>
      <w:r>
        <w:rPr>
          <w:rFonts w:ascii="Times New Roman" w:hAnsi="Times New Roman"/>
          <w:lang w:val="en-GB"/>
        </w:rPr>
        <w:t>, vol. 116, no. 513, 2006, pp. 738-750.</w:t>
      </w:r>
    </w:p>
    <w:p w14:paraId="229B24F8" w14:textId="315323F8" w:rsidR="004F1D54" w:rsidRPr="002F5B20" w:rsidRDefault="004F1D54" w:rsidP="001718A8">
      <w:pPr>
        <w:spacing w:line="480" w:lineRule="auto"/>
        <w:ind w:left="737" w:hanging="737"/>
        <w:rPr>
          <w:rFonts w:ascii="Times New Roman" w:hAnsi="Times New Roman"/>
          <w:lang w:val="en-GB"/>
        </w:rPr>
      </w:pPr>
      <w:r w:rsidRPr="00494EFF">
        <w:rPr>
          <w:rFonts w:ascii="Times New Roman" w:hAnsi="Times New Roman"/>
          <w:vertAlign w:val="superscript"/>
        </w:rPr>
        <w:lastRenderedPageBreak/>
        <w:t>6</w:t>
      </w:r>
      <w:r w:rsidRPr="002F5B20">
        <w:rPr>
          <w:rFonts w:ascii="Times New Roman" w:hAnsi="Times New Roman"/>
        </w:rPr>
        <w:t xml:space="preserve"> See Hiilamo et al., ‘</w:t>
      </w:r>
      <w:r w:rsidRPr="002F5B20">
        <w:rPr>
          <w:rFonts w:ascii="Times New Roman" w:hAnsi="Times New Roman"/>
          <w:i/>
        </w:rPr>
        <w:t>Neljä osallistavan sosiaaliturvan mallia</w:t>
      </w:r>
      <w:r w:rsidRPr="002F5B20">
        <w:rPr>
          <w:rFonts w:ascii="Times New Roman" w:hAnsi="Times New Roman"/>
        </w:rPr>
        <w:t xml:space="preserve">’; and Sosiaali- ja Terveysministeriö, </w:t>
      </w:r>
      <w:r w:rsidRPr="002F5B20">
        <w:rPr>
          <w:rFonts w:ascii="Times New Roman" w:hAnsi="Times New Roman"/>
          <w:i/>
        </w:rPr>
        <w:t xml:space="preserve"> Osallistava Sosiaaliturva. </w:t>
      </w:r>
      <w:r w:rsidRPr="002F5B20">
        <w:rPr>
          <w:rFonts w:ascii="Times New Roman" w:hAnsi="Times New Roman"/>
          <w:i/>
          <w:lang w:val="en-US"/>
        </w:rPr>
        <w:t>Työryhmän loppuraportti</w:t>
      </w:r>
      <w:r w:rsidRPr="002F5B20">
        <w:rPr>
          <w:rFonts w:ascii="Times New Roman" w:hAnsi="Times New Roman"/>
          <w:lang w:val="en-US"/>
        </w:rPr>
        <w:t xml:space="preserve"> </w:t>
      </w:r>
      <w:r w:rsidRPr="002F5B20">
        <w:rPr>
          <w:rFonts w:ascii="Times New Roman" w:hAnsi="Times New Roman"/>
          <w:i/>
          <w:lang w:val="en-US"/>
        </w:rPr>
        <w:t xml:space="preserve">[Inclusive Social Security. </w:t>
      </w:r>
      <w:r w:rsidRPr="002F5B20">
        <w:rPr>
          <w:rFonts w:ascii="Times New Roman" w:hAnsi="Times New Roman"/>
          <w:i/>
          <w:lang w:val="en-GB"/>
        </w:rPr>
        <w:t>Final report of the working group]</w:t>
      </w:r>
      <w:r w:rsidRPr="002F5B20">
        <w:rPr>
          <w:rFonts w:ascii="Times New Roman" w:hAnsi="Times New Roman"/>
          <w:lang w:val="en-GB"/>
        </w:rPr>
        <w:t xml:space="preserve">, Helsinki, Finnish Ministry of Health and Social Affairs, 2016; and </w:t>
      </w:r>
      <w:r w:rsidR="008373BA" w:rsidRPr="002F5B20">
        <w:rPr>
          <w:rFonts w:ascii="Times New Roman" w:hAnsi="Times New Roman"/>
          <w:lang w:val="en-GB"/>
        </w:rPr>
        <w:t xml:space="preserve">R.-L. </w:t>
      </w:r>
      <w:r w:rsidR="008373BA" w:rsidRPr="002F5B20">
        <w:rPr>
          <w:rFonts w:ascii="Times New Roman" w:hAnsi="Times New Roman"/>
          <w:lang w:val="en-US"/>
        </w:rPr>
        <w:t>Kokko, T. Nenonen, T. Martelin and S. Koskinen</w:t>
      </w:r>
      <w:r w:rsidR="00540E73">
        <w:rPr>
          <w:rFonts w:ascii="Times New Roman" w:hAnsi="Times New Roman"/>
          <w:lang w:val="en-US"/>
        </w:rPr>
        <w:t>, eds.</w:t>
      </w:r>
      <w:r w:rsidR="008373BA" w:rsidRPr="002F5B20">
        <w:rPr>
          <w:rFonts w:ascii="Times New Roman" w:hAnsi="Times New Roman"/>
          <w:lang w:val="en-US"/>
        </w:rPr>
        <w:t xml:space="preserve">, </w:t>
      </w:r>
      <w:r w:rsidR="008373BA" w:rsidRPr="002F5B20">
        <w:rPr>
          <w:rFonts w:ascii="Times New Roman" w:hAnsi="Times New Roman"/>
          <w:i/>
          <w:lang w:val="en-US"/>
        </w:rPr>
        <w:t>Työllisyys, terveys ja hyvinvointi - Paltamon työllistämismallin vaikutusten arviointitutkimus 2009-2013: Hankkeen loppuraportti [Employment, health and well-being – The Paltamo employment model impact study 2009-2013: Final report]</w:t>
      </w:r>
      <w:r w:rsidR="008373BA" w:rsidRPr="002F5B20">
        <w:rPr>
          <w:rFonts w:ascii="Times New Roman" w:hAnsi="Times New Roman"/>
          <w:lang w:val="en-US"/>
        </w:rPr>
        <w:t xml:space="preserve">. Helsinki, Terveyden ja hyvinvoinnin laitos, 2013; and </w:t>
      </w:r>
      <w:r w:rsidR="002F5B20" w:rsidRPr="002F5B20">
        <w:rPr>
          <w:rFonts w:ascii="Times New Roman" w:hAnsi="Times New Roman"/>
          <w:lang w:val="en-US"/>
        </w:rPr>
        <w:t xml:space="preserve">I. </w:t>
      </w:r>
      <w:r w:rsidRPr="002F5B20">
        <w:rPr>
          <w:rFonts w:ascii="Times New Roman" w:hAnsi="Times New Roman"/>
          <w:lang w:val="en-US"/>
        </w:rPr>
        <w:t>Lodemel</w:t>
      </w:r>
      <w:r w:rsidR="002F5B20" w:rsidRPr="002F5B20">
        <w:rPr>
          <w:rFonts w:ascii="Times New Roman" w:hAnsi="Times New Roman"/>
          <w:lang w:val="en-US"/>
        </w:rPr>
        <w:t xml:space="preserve"> and H.</w:t>
      </w:r>
      <w:r w:rsidRPr="002F5B20">
        <w:rPr>
          <w:rFonts w:ascii="Times New Roman" w:hAnsi="Times New Roman"/>
          <w:lang w:val="en-US"/>
        </w:rPr>
        <w:t xml:space="preserve"> Trickey, H.</w:t>
      </w:r>
      <w:r w:rsidR="00540E73">
        <w:rPr>
          <w:rFonts w:ascii="Times New Roman" w:hAnsi="Times New Roman"/>
          <w:lang w:val="en-US"/>
        </w:rPr>
        <w:t>, eds.</w:t>
      </w:r>
      <w:r w:rsidR="002F5B20" w:rsidRPr="002F5B20">
        <w:rPr>
          <w:rFonts w:ascii="Times New Roman" w:hAnsi="Times New Roman"/>
          <w:lang w:val="en-US"/>
        </w:rPr>
        <w:t>,</w:t>
      </w:r>
      <w:r w:rsidRPr="002F5B20">
        <w:rPr>
          <w:rFonts w:ascii="Times New Roman" w:hAnsi="Times New Roman"/>
          <w:lang w:val="en-US"/>
        </w:rPr>
        <w:t xml:space="preserve"> </w:t>
      </w:r>
      <w:r w:rsidRPr="002F5B20">
        <w:rPr>
          <w:rFonts w:ascii="Times New Roman" w:hAnsi="Times New Roman"/>
          <w:i/>
          <w:lang w:val="en-GB"/>
        </w:rPr>
        <w:t xml:space="preserve">An </w:t>
      </w:r>
      <w:r w:rsidR="002F5B20" w:rsidRPr="002F5B20">
        <w:rPr>
          <w:rFonts w:ascii="Times New Roman" w:hAnsi="Times New Roman"/>
          <w:i/>
          <w:lang w:val="en-GB"/>
        </w:rPr>
        <w:t>Offer You Can’t Refuse</w:t>
      </w:r>
      <w:r w:rsidRPr="002F5B20">
        <w:rPr>
          <w:rFonts w:ascii="Times New Roman" w:hAnsi="Times New Roman"/>
          <w:i/>
          <w:lang w:val="en-GB"/>
        </w:rPr>
        <w:t xml:space="preserve">: Workfare in </w:t>
      </w:r>
      <w:r w:rsidR="002F5B20" w:rsidRPr="002F5B20">
        <w:rPr>
          <w:rFonts w:ascii="Times New Roman" w:hAnsi="Times New Roman"/>
          <w:i/>
          <w:lang w:val="en-GB"/>
        </w:rPr>
        <w:t>International Perspective</w:t>
      </w:r>
      <w:r w:rsidRPr="002F5B20">
        <w:rPr>
          <w:rFonts w:ascii="Times New Roman" w:hAnsi="Times New Roman"/>
          <w:lang w:val="en-GB"/>
        </w:rPr>
        <w:t>. Bristol</w:t>
      </w:r>
      <w:r w:rsidR="002F5B20" w:rsidRPr="002F5B20">
        <w:rPr>
          <w:rFonts w:ascii="Times New Roman" w:hAnsi="Times New Roman"/>
          <w:lang w:val="en-GB"/>
        </w:rPr>
        <w:t>,</w:t>
      </w:r>
      <w:r w:rsidRPr="002F5B20">
        <w:rPr>
          <w:rFonts w:ascii="Times New Roman" w:hAnsi="Times New Roman"/>
          <w:lang w:val="en-GB"/>
        </w:rPr>
        <w:t xml:space="preserve"> Policy Press</w:t>
      </w:r>
      <w:r w:rsidR="002F5B20" w:rsidRPr="002F5B20">
        <w:rPr>
          <w:rFonts w:ascii="Times New Roman" w:hAnsi="Times New Roman"/>
          <w:lang w:val="en-GB"/>
        </w:rPr>
        <w:t>, 2001</w:t>
      </w:r>
      <w:r w:rsidRPr="002F5B20">
        <w:rPr>
          <w:rFonts w:ascii="Times New Roman" w:hAnsi="Times New Roman"/>
          <w:lang w:val="en-GB"/>
        </w:rPr>
        <w:t>.</w:t>
      </w:r>
    </w:p>
    <w:p w14:paraId="4D692EF3" w14:textId="77791CE1" w:rsidR="00B80530" w:rsidRPr="00530F17" w:rsidRDefault="00B80530" w:rsidP="001718A8">
      <w:pPr>
        <w:spacing w:line="480" w:lineRule="auto"/>
        <w:ind w:left="737" w:hanging="737"/>
        <w:rPr>
          <w:rFonts w:ascii="Times New Roman" w:hAnsi="Times New Roman"/>
          <w:highlight w:val="yellow"/>
          <w:lang w:val="en-GB"/>
        </w:rPr>
      </w:pPr>
      <w:r w:rsidRPr="00384090">
        <w:rPr>
          <w:rFonts w:ascii="Times New Roman" w:hAnsi="Times New Roman"/>
          <w:vertAlign w:val="superscript"/>
          <w:lang w:val="en-GB"/>
        </w:rPr>
        <w:t>7</w:t>
      </w:r>
      <w:r w:rsidR="00E62D15">
        <w:rPr>
          <w:rFonts w:ascii="Times New Roman" w:hAnsi="Times New Roman"/>
          <w:lang w:val="en-GB"/>
        </w:rPr>
        <w:t xml:space="preserve"> See T. Fleckstein, ‘Restructuring welfare for the unemployed: The Hartz legislation in Germany’, </w:t>
      </w:r>
      <w:r w:rsidR="00E62D15">
        <w:rPr>
          <w:rFonts w:ascii="Times New Roman" w:hAnsi="Times New Roman"/>
          <w:i/>
          <w:lang w:val="en-GB"/>
        </w:rPr>
        <w:t>Journal of European Social Policy</w:t>
      </w:r>
      <w:r w:rsidR="00E62D15">
        <w:rPr>
          <w:rFonts w:ascii="Times New Roman" w:hAnsi="Times New Roman"/>
          <w:lang w:val="en-GB"/>
        </w:rPr>
        <w:t xml:space="preserve">, vol. 18, no. 2, 2008, pp. 177-188; and A. Kemmerling and O. Bruttel, ‘”New politics” in Germany labour market policy? The implications of the recent Hartz reforms for the German welfare state’, </w:t>
      </w:r>
      <w:r w:rsidR="00E62D15">
        <w:rPr>
          <w:rFonts w:ascii="Times New Roman" w:hAnsi="Times New Roman"/>
          <w:i/>
          <w:lang w:val="en-GB"/>
        </w:rPr>
        <w:t>West European Politics</w:t>
      </w:r>
      <w:r w:rsidR="00E62D15">
        <w:rPr>
          <w:rFonts w:ascii="Times New Roman" w:hAnsi="Times New Roman"/>
          <w:lang w:val="en-GB"/>
        </w:rPr>
        <w:t xml:space="preserve">, vol. 29, no. 1, 2006, pp. 90-112; and </w:t>
      </w:r>
      <w:r w:rsidR="001718A8">
        <w:rPr>
          <w:rFonts w:ascii="Times New Roman" w:hAnsi="Times New Roman"/>
          <w:lang w:val="en-GB"/>
        </w:rPr>
        <w:t xml:space="preserve">W. Streeck and C. Trampusch, ‘Economic reform and the political economy of the German welfare state’, </w:t>
      </w:r>
      <w:r w:rsidR="001718A8">
        <w:rPr>
          <w:rFonts w:ascii="Times New Roman" w:hAnsi="Times New Roman"/>
          <w:i/>
          <w:lang w:val="en-GB"/>
        </w:rPr>
        <w:t>German Politics</w:t>
      </w:r>
      <w:r w:rsidR="001718A8">
        <w:rPr>
          <w:rFonts w:ascii="Times New Roman" w:hAnsi="Times New Roman"/>
          <w:lang w:val="en-GB"/>
        </w:rPr>
        <w:t xml:space="preserve">, vol. 14, no. 2, 2005, pp. 174-195. </w:t>
      </w:r>
    </w:p>
    <w:p w14:paraId="00062014" w14:textId="13D19172" w:rsidR="00384090" w:rsidRDefault="00384090" w:rsidP="001545A0">
      <w:pPr>
        <w:spacing w:line="480" w:lineRule="auto"/>
        <w:ind w:left="737" w:hanging="737"/>
        <w:rPr>
          <w:rFonts w:ascii="Times New Roman" w:hAnsi="Times New Roman"/>
          <w:lang w:val="en-GB"/>
        </w:rPr>
      </w:pPr>
      <w:r w:rsidRPr="00384090">
        <w:rPr>
          <w:rFonts w:ascii="Times New Roman" w:hAnsi="Times New Roman"/>
          <w:vertAlign w:val="superscript"/>
          <w:lang w:val="en-GB"/>
        </w:rPr>
        <w:t>8</w:t>
      </w:r>
      <w:r>
        <w:rPr>
          <w:rFonts w:ascii="Times New Roman" w:hAnsi="Times New Roman"/>
          <w:lang w:val="en-GB"/>
        </w:rPr>
        <w:t xml:space="preserve"> See A. Eleveld, ‘The duty to work without a wage: A legal comparison between social assistance legislation in Germany, the Netherlands and the United Kingdom’, </w:t>
      </w:r>
      <w:r>
        <w:rPr>
          <w:rFonts w:ascii="Times New Roman" w:hAnsi="Times New Roman"/>
          <w:i/>
          <w:lang w:val="en-GB"/>
        </w:rPr>
        <w:t>European Journal of Social Security</w:t>
      </w:r>
      <w:r>
        <w:rPr>
          <w:rFonts w:ascii="Times New Roman" w:hAnsi="Times New Roman"/>
          <w:lang w:val="en-GB"/>
        </w:rPr>
        <w:t xml:space="preserve">, vol. 16, no. 3, 2014, pp. 204-224; and A. Paz-Fuchs and A. Eleveld, ‘Workfare revisited’, </w:t>
      </w:r>
      <w:r w:rsidR="001545A0">
        <w:rPr>
          <w:rFonts w:ascii="Times New Roman" w:hAnsi="Times New Roman"/>
          <w:i/>
          <w:lang w:val="en-GB"/>
        </w:rPr>
        <w:t>Industrial Law Journal</w:t>
      </w:r>
      <w:r w:rsidR="001545A0">
        <w:rPr>
          <w:rFonts w:ascii="Times New Roman" w:hAnsi="Times New Roman"/>
          <w:lang w:val="en-GB"/>
        </w:rPr>
        <w:t xml:space="preserve">, vol. 45, no. 1, 2016, pp. 29-59. </w:t>
      </w:r>
    </w:p>
    <w:p w14:paraId="25A44594" w14:textId="2550BA3B" w:rsidR="005F60F4" w:rsidRPr="00530F17" w:rsidRDefault="005F60F4" w:rsidP="00540E73">
      <w:pPr>
        <w:spacing w:line="480" w:lineRule="auto"/>
        <w:ind w:left="737" w:hanging="737"/>
        <w:rPr>
          <w:rFonts w:ascii="Times New Roman" w:hAnsi="Times New Roman"/>
          <w:highlight w:val="yellow"/>
          <w:lang w:val="en-GB"/>
        </w:rPr>
      </w:pPr>
      <w:r w:rsidRPr="005F60F4">
        <w:rPr>
          <w:rFonts w:ascii="Times New Roman" w:hAnsi="Times New Roman"/>
          <w:vertAlign w:val="superscript"/>
          <w:lang w:val="en-US"/>
        </w:rPr>
        <w:t>9</w:t>
      </w:r>
      <w:r w:rsidRPr="005F60F4">
        <w:rPr>
          <w:rFonts w:ascii="Times New Roman" w:hAnsi="Times New Roman"/>
          <w:lang w:val="en-US"/>
        </w:rPr>
        <w:t xml:space="preserve"> See Hiilamo et al., ‘</w:t>
      </w:r>
      <w:r w:rsidRPr="005F60F4">
        <w:rPr>
          <w:rFonts w:ascii="Times New Roman" w:hAnsi="Times New Roman"/>
          <w:i/>
          <w:lang w:val="en-US"/>
        </w:rPr>
        <w:t>Neljä osallistavan sosiaaliturvan mallia</w:t>
      </w:r>
      <w:r w:rsidRPr="005F60F4">
        <w:rPr>
          <w:rFonts w:ascii="Times New Roman" w:hAnsi="Times New Roman"/>
          <w:lang w:val="en-US"/>
        </w:rPr>
        <w:t xml:space="preserve">’; and K. Hohmeyer and E. Jozwiak, </w:t>
      </w:r>
      <w:r w:rsidRPr="005F60F4">
        <w:rPr>
          <w:rFonts w:ascii="Times New Roman" w:hAnsi="Times New Roman"/>
          <w:i/>
          <w:lang w:val="en-GB"/>
        </w:rPr>
        <w:t xml:space="preserve">Who Is Targeted by One-Euro-Jobs? </w:t>
      </w:r>
      <w:r w:rsidRPr="00540E73">
        <w:rPr>
          <w:rFonts w:ascii="Times New Roman" w:hAnsi="Times New Roman"/>
          <w:i/>
          <w:lang w:val="en-GB"/>
        </w:rPr>
        <w:t>A Selectivity Analysis</w:t>
      </w:r>
      <w:r w:rsidRPr="00540E73">
        <w:rPr>
          <w:rFonts w:ascii="Times New Roman" w:hAnsi="Times New Roman"/>
          <w:lang w:val="en-GB"/>
        </w:rPr>
        <w:t xml:space="preserve">, Discussion paper 08/2008,  Nurnberg, Institut für Arbeitsmarkt- und Berufsforschung der Bundesagentur für Arbeit, 2008, http://doku.iab.de/discussionpapers/2008/dp0808.pdf (accessed July 02, 2017); and P.H. Kristensen, M. Lotz and R. Rocha, </w:t>
      </w:r>
      <w:r w:rsidR="00540E73" w:rsidRPr="00540E73">
        <w:rPr>
          <w:rFonts w:ascii="Times New Roman" w:hAnsi="Times New Roman"/>
          <w:lang w:val="en-GB"/>
        </w:rPr>
        <w:t>‚Denmark: Tailoring flexicurity for changing roles in gl</w:t>
      </w:r>
      <w:r w:rsidR="00540E73">
        <w:rPr>
          <w:rFonts w:ascii="Times New Roman" w:hAnsi="Times New Roman"/>
          <w:lang w:val="en-GB"/>
        </w:rPr>
        <w:t>o</w:t>
      </w:r>
      <w:r w:rsidR="00540E73" w:rsidRPr="00540E73">
        <w:rPr>
          <w:rFonts w:ascii="Times New Roman" w:hAnsi="Times New Roman"/>
          <w:lang w:val="en-GB"/>
        </w:rPr>
        <w:t xml:space="preserve">bal games‘, </w:t>
      </w:r>
      <w:r w:rsidR="00540E73">
        <w:rPr>
          <w:rFonts w:ascii="Times New Roman" w:hAnsi="Times New Roman"/>
          <w:lang w:val="en-GB"/>
        </w:rPr>
        <w:t xml:space="preserve">in P.H. Kristensen and K. Lilja, eds., </w:t>
      </w:r>
      <w:r w:rsidR="00540E73">
        <w:rPr>
          <w:rFonts w:ascii="Times New Roman" w:hAnsi="Times New Roman"/>
          <w:i/>
          <w:lang w:val="en-GB"/>
        </w:rPr>
        <w:t xml:space="preserve">Nordic Capitalism and </w:t>
      </w:r>
      <w:r w:rsidR="00540E73">
        <w:rPr>
          <w:rFonts w:ascii="Times New Roman" w:hAnsi="Times New Roman"/>
          <w:i/>
          <w:lang w:val="en-GB"/>
        </w:rPr>
        <w:lastRenderedPageBreak/>
        <w:t>Globalization: New Forms of Economic Organization and Welfare Institutions</w:t>
      </w:r>
      <w:r w:rsidR="00540E73">
        <w:rPr>
          <w:rFonts w:ascii="Times New Roman" w:hAnsi="Times New Roman"/>
          <w:lang w:val="en-GB"/>
        </w:rPr>
        <w:t xml:space="preserve">, Oxford, Oxford University Press, 2011, pp. 86-140. </w:t>
      </w:r>
    </w:p>
    <w:p w14:paraId="1A4DC6AA" w14:textId="29E655CA" w:rsidR="002C57A9" w:rsidRDefault="002C57A9" w:rsidP="002C57A9">
      <w:pPr>
        <w:spacing w:line="480" w:lineRule="auto"/>
        <w:ind w:left="737" w:hanging="737"/>
        <w:rPr>
          <w:rFonts w:ascii="Times New Roman" w:hAnsi="Times New Roman"/>
          <w:lang w:val="en-GB"/>
        </w:rPr>
      </w:pPr>
      <w:r w:rsidRPr="002C57A9">
        <w:rPr>
          <w:rFonts w:ascii="Times New Roman" w:hAnsi="Times New Roman"/>
          <w:vertAlign w:val="superscript"/>
          <w:lang w:val="en-GB"/>
        </w:rPr>
        <w:t>10</w:t>
      </w:r>
      <w:r>
        <w:rPr>
          <w:rFonts w:ascii="Times New Roman" w:hAnsi="Times New Roman"/>
          <w:lang w:val="en-GB"/>
        </w:rPr>
        <w:t xml:space="preserve"> See M. Navaie-Waliser, A. Spriggs and P. Feldman, ‘Informal caregiving: Differential experiences by gender’, </w:t>
      </w:r>
      <w:r>
        <w:rPr>
          <w:rFonts w:ascii="Times New Roman" w:hAnsi="Times New Roman"/>
          <w:i/>
          <w:lang w:val="en-GB"/>
        </w:rPr>
        <w:t>Medical Care</w:t>
      </w:r>
      <w:r>
        <w:rPr>
          <w:rFonts w:ascii="Times New Roman" w:hAnsi="Times New Roman"/>
          <w:lang w:val="en-GB"/>
        </w:rPr>
        <w:t xml:space="preserve">, vol. 40, no. 12, 2002, pp. 1249-1259; and M. Pinquart and S. Sorensen, ‘Gender differences in caregiver stressors, social resources, and health: An updated meta-analysis’, </w:t>
      </w:r>
      <w:r>
        <w:rPr>
          <w:rFonts w:ascii="Times New Roman" w:hAnsi="Times New Roman"/>
          <w:i/>
          <w:lang w:val="en-GB"/>
        </w:rPr>
        <w:t>The Journals of Gerontology: Series B</w:t>
      </w:r>
      <w:r>
        <w:rPr>
          <w:rFonts w:ascii="Times New Roman" w:hAnsi="Times New Roman"/>
          <w:lang w:val="en-GB"/>
        </w:rPr>
        <w:t xml:space="preserve">, vol. 61, no. 1, 2006, pp. P33-P45. </w:t>
      </w:r>
    </w:p>
    <w:p w14:paraId="44749106" w14:textId="1622C7A2" w:rsidR="001D6C6F" w:rsidRDefault="001D6C6F" w:rsidP="001D6C6F">
      <w:pPr>
        <w:spacing w:line="480" w:lineRule="auto"/>
        <w:ind w:left="737" w:hanging="737"/>
        <w:rPr>
          <w:rFonts w:ascii="Times New Roman" w:hAnsi="Times New Roman"/>
          <w:lang w:val="en-GB"/>
        </w:rPr>
      </w:pPr>
      <w:r w:rsidRPr="001D6C6F">
        <w:rPr>
          <w:rFonts w:ascii="Times New Roman" w:hAnsi="Times New Roman"/>
          <w:vertAlign w:val="superscript"/>
          <w:lang w:val="en-GB"/>
        </w:rPr>
        <w:t>11</w:t>
      </w:r>
      <w:r>
        <w:rPr>
          <w:rFonts w:ascii="Times New Roman" w:hAnsi="Times New Roman"/>
          <w:vertAlign w:val="superscript"/>
          <w:lang w:val="en-GB"/>
        </w:rPr>
        <w:t xml:space="preserve"> </w:t>
      </w:r>
      <w:r>
        <w:rPr>
          <w:rFonts w:ascii="Times New Roman" w:hAnsi="Times New Roman"/>
          <w:lang w:val="en-GB"/>
        </w:rPr>
        <w:t xml:space="preserve">Van der Veen and Groot came to a similar conclusion in their book R. Van der Veen and L. Groot, eds., </w:t>
      </w:r>
      <w:r>
        <w:rPr>
          <w:rFonts w:ascii="Times New Roman" w:hAnsi="Times New Roman"/>
          <w:i/>
          <w:lang w:val="en-GB"/>
        </w:rPr>
        <w:t>Basic Income on the Agenda. Policy Objectives and Political Chances</w:t>
      </w:r>
      <w:r>
        <w:rPr>
          <w:rFonts w:ascii="Times New Roman" w:hAnsi="Times New Roman"/>
          <w:lang w:val="en-GB"/>
        </w:rPr>
        <w:t xml:space="preserve">, Amsterdam, Amsterdam University Press. </w:t>
      </w:r>
    </w:p>
    <w:p w14:paraId="6F1D9EB3" w14:textId="77777777" w:rsidR="001D6C6F" w:rsidRPr="005F60F4" w:rsidRDefault="001D6C6F" w:rsidP="002C57A9">
      <w:pPr>
        <w:spacing w:line="480" w:lineRule="auto"/>
        <w:ind w:left="737" w:hanging="737"/>
        <w:rPr>
          <w:rFonts w:ascii="Times New Roman" w:hAnsi="Times New Roman"/>
          <w:lang w:val="en-GB"/>
        </w:rPr>
      </w:pPr>
    </w:p>
    <w:sectPr w:rsidR="001D6C6F" w:rsidRPr="005F60F4">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F61E0" w14:textId="77777777" w:rsidR="002F6457" w:rsidRDefault="002F6457" w:rsidP="00D71F0E">
      <w:r>
        <w:separator/>
      </w:r>
    </w:p>
  </w:endnote>
  <w:endnote w:type="continuationSeparator" w:id="0">
    <w:p w14:paraId="7274A8E9" w14:textId="77777777" w:rsidR="002F6457" w:rsidRDefault="002F6457" w:rsidP="00D71F0E">
      <w:r>
        <w:continuationSeparator/>
      </w:r>
    </w:p>
  </w:endnote>
  <w:endnote w:type="continuationNotice" w:id="1">
    <w:p w14:paraId="69D52FE9" w14:textId="77777777" w:rsidR="002F6457" w:rsidRDefault="002F6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2"/>
      <w:gridCol w:w="3213"/>
      <w:gridCol w:w="3213"/>
    </w:tblGrid>
    <w:tr w:rsidR="243A52D1" w:rsidRPr="00166B08" w14:paraId="6AEDFE9A" w14:textId="77777777" w:rsidTr="243A52D1">
      <w:tc>
        <w:tcPr>
          <w:tcW w:w="3213" w:type="dxa"/>
        </w:tcPr>
        <w:p w14:paraId="0CF8E986" w14:textId="55029119" w:rsidR="243A52D1" w:rsidRDefault="243A52D1" w:rsidP="243A52D1">
          <w:pPr>
            <w:pStyle w:val="Header"/>
            <w:ind w:left="-115"/>
          </w:pPr>
        </w:p>
      </w:tc>
      <w:tc>
        <w:tcPr>
          <w:tcW w:w="3213" w:type="dxa"/>
        </w:tcPr>
        <w:p w14:paraId="45599E80" w14:textId="755CE391" w:rsidR="243A52D1" w:rsidRDefault="243A52D1" w:rsidP="243A52D1">
          <w:pPr>
            <w:pStyle w:val="Header"/>
            <w:jc w:val="center"/>
          </w:pPr>
        </w:p>
      </w:tc>
      <w:tc>
        <w:tcPr>
          <w:tcW w:w="3213" w:type="dxa"/>
        </w:tcPr>
        <w:p w14:paraId="5198C27C" w14:textId="274D52BF" w:rsidR="243A52D1" w:rsidRPr="00166B08" w:rsidRDefault="243A52D1" w:rsidP="243A52D1">
          <w:pPr>
            <w:pStyle w:val="Header"/>
            <w:ind w:right="-115"/>
            <w:jc w:val="right"/>
            <w:rPr>
              <w:rFonts w:ascii="Times New Roman" w:hAnsi="Times New Roman"/>
            </w:rPr>
          </w:pPr>
          <w:r w:rsidRPr="00166B08">
            <w:rPr>
              <w:rFonts w:ascii="Times New Roman" w:hAnsi="Times New Roman"/>
            </w:rPr>
            <w:fldChar w:fldCharType="begin"/>
          </w:r>
          <w:r w:rsidRPr="00166B08">
            <w:rPr>
              <w:rFonts w:ascii="Times New Roman" w:hAnsi="Times New Roman"/>
            </w:rPr>
            <w:instrText>PAGE</w:instrText>
          </w:r>
          <w:r w:rsidRPr="00166B08">
            <w:rPr>
              <w:rFonts w:ascii="Times New Roman" w:hAnsi="Times New Roman"/>
            </w:rPr>
            <w:fldChar w:fldCharType="separate"/>
          </w:r>
          <w:r w:rsidR="00477920">
            <w:rPr>
              <w:rFonts w:ascii="Times New Roman" w:hAnsi="Times New Roman"/>
              <w:noProof/>
            </w:rPr>
            <w:t>6</w:t>
          </w:r>
          <w:r w:rsidRPr="00166B08">
            <w:rPr>
              <w:rFonts w:ascii="Times New Roman" w:hAnsi="Times New Roman"/>
            </w:rPr>
            <w:fldChar w:fldCharType="end"/>
          </w:r>
        </w:p>
      </w:tc>
    </w:tr>
  </w:tbl>
  <w:p w14:paraId="493C7DA3" w14:textId="20C8B68C" w:rsidR="243A52D1" w:rsidRDefault="243A52D1" w:rsidP="243A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EF52" w14:textId="77777777" w:rsidR="002F6457" w:rsidRDefault="002F6457" w:rsidP="00D71F0E">
      <w:r>
        <w:separator/>
      </w:r>
    </w:p>
  </w:footnote>
  <w:footnote w:type="continuationSeparator" w:id="0">
    <w:p w14:paraId="15DBF3DB" w14:textId="77777777" w:rsidR="002F6457" w:rsidRDefault="002F6457" w:rsidP="00D71F0E">
      <w:r>
        <w:continuationSeparator/>
      </w:r>
    </w:p>
  </w:footnote>
  <w:footnote w:type="continuationNotice" w:id="1">
    <w:p w14:paraId="19175CC9" w14:textId="77777777" w:rsidR="002F6457" w:rsidRDefault="002F64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9C07" w14:textId="7F806F84" w:rsidR="00D71F0E" w:rsidRPr="00D71F0E" w:rsidRDefault="00D71F0E" w:rsidP="243A52D1">
    <w:pPr>
      <w:pStyle w:val="Header"/>
      <w:jc w:val="right"/>
      <w:rPr>
        <w:rFonts w:ascii="Times New Roman" w:hAnsi="Times New Roman"/>
        <w:i/>
        <w:iCs/>
      </w:rPr>
    </w:pPr>
  </w:p>
  <w:p w14:paraId="48C2EB95" w14:textId="77777777" w:rsidR="00D71F0E" w:rsidRDefault="00D7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1B1"/>
    <w:multiLevelType w:val="hybridMultilevel"/>
    <w:tmpl w:val="41608616"/>
    <w:lvl w:ilvl="0" w:tplc="7D941AA4">
      <w:start w:val="1"/>
      <w:numFmt w:val="bullet"/>
      <w:lvlText w:val="•"/>
      <w:lvlJc w:val="left"/>
      <w:pPr>
        <w:tabs>
          <w:tab w:val="num" w:pos="720"/>
        </w:tabs>
        <w:ind w:left="720" w:hanging="360"/>
      </w:pPr>
      <w:rPr>
        <w:rFonts w:ascii="Arial" w:hAnsi="Arial" w:hint="default"/>
      </w:rPr>
    </w:lvl>
    <w:lvl w:ilvl="1" w:tplc="6728CDC4" w:tentative="1">
      <w:start w:val="1"/>
      <w:numFmt w:val="bullet"/>
      <w:lvlText w:val="•"/>
      <w:lvlJc w:val="left"/>
      <w:pPr>
        <w:tabs>
          <w:tab w:val="num" w:pos="1440"/>
        </w:tabs>
        <w:ind w:left="1440" w:hanging="360"/>
      </w:pPr>
      <w:rPr>
        <w:rFonts w:ascii="Arial" w:hAnsi="Arial" w:hint="default"/>
      </w:rPr>
    </w:lvl>
    <w:lvl w:ilvl="2" w:tplc="70F62E30" w:tentative="1">
      <w:start w:val="1"/>
      <w:numFmt w:val="bullet"/>
      <w:lvlText w:val="•"/>
      <w:lvlJc w:val="left"/>
      <w:pPr>
        <w:tabs>
          <w:tab w:val="num" w:pos="2160"/>
        </w:tabs>
        <w:ind w:left="2160" w:hanging="360"/>
      </w:pPr>
      <w:rPr>
        <w:rFonts w:ascii="Arial" w:hAnsi="Arial" w:hint="default"/>
      </w:rPr>
    </w:lvl>
    <w:lvl w:ilvl="3" w:tplc="67D24718" w:tentative="1">
      <w:start w:val="1"/>
      <w:numFmt w:val="bullet"/>
      <w:lvlText w:val="•"/>
      <w:lvlJc w:val="left"/>
      <w:pPr>
        <w:tabs>
          <w:tab w:val="num" w:pos="2880"/>
        </w:tabs>
        <w:ind w:left="2880" w:hanging="360"/>
      </w:pPr>
      <w:rPr>
        <w:rFonts w:ascii="Arial" w:hAnsi="Arial" w:hint="default"/>
      </w:rPr>
    </w:lvl>
    <w:lvl w:ilvl="4" w:tplc="F596FC74" w:tentative="1">
      <w:start w:val="1"/>
      <w:numFmt w:val="bullet"/>
      <w:lvlText w:val="•"/>
      <w:lvlJc w:val="left"/>
      <w:pPr>
        <w:tabs>
          <w:tab w:val="num" w:pos="3600"/>
        </w:tabs>
        <w:ind w:left="3600" w:hanging="360"/>
      </w:pPr>
      <w:rPr>
        <w:rFonts w:ascii="Arial" w:hAnsi="Arial" w:hint="default"/>
      </w:rPr>
    </w:lvl>
    <w:lvl w:ilvl="5" w:tplc="984C0C6C" w:tentative="1">
      <w:start w:val="1"/>
      <w:numFmt w:val="bullet"/>
      <w:lvlText w:val="•"/>
      <w:lvlJc w:val="left"/>
      <w:pPr>
        <w:tabs>
          <w:tab w:val="num" w:pos="4320"/>
        </w:tabs>
        <w:ind w:left="4320" w:hanging="360"/>
      </w:pPr>
      <w:rPr>
        <w:rFonts w:ascii="Arial" w:hAnsi="Arial" w:hint="default"/>
      </w:rPr>
    </w:lvl>
    <w:lvl w:ilvl="6" w:tplc="DEA28A70" w:tentative="1">
      <w:start w:val="1"/>
      <w:numFmt w:val="bullet"/>
      <w:lvlText w:val="•"/>
      <w:lvlJc w:val="left"/>
      <w:pPr>
        <w:tabs>
          <w:tab w:val="num" w:pos="5040"/>
        </w:tabs>
        <w:ind w:left="5040" w:hanging="360"/>
      </w:pPr>
      <w:rPr>
        <w:rFonts w:ascii="Arial" w:hAnsi="Arial" w:hint="default"/>
      </w:rPr>
    </w:lvl>
    <w:lvl w:ilvl="7" w:tplc="54C21266" w:tentative="1">
      <w:start w:val="1"/>
      <w:numFmt w:val="bullet"/>
      <w:lvlText w:val="•"/>
      <w:lvlJc w:val="left"/>
      <w:pPr>
        <w:tabs>
          <w:tab w:val="num" w:pos="5760"/>
        </w:tabs>
        <w:ind w:left="5760" w:hanging="360"/>
      </w:pPr>
      <w:rPr>
        <w:rFonts w:ascii="Arial" w:hAnsi="Arial" w:hint="default"/>
      </w:rPr>
    </w:lvl>
    <w:lvl w:ilvl="8" w:tplc="1A2417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231D44"/>
    <w:multiLevelType w:val="hybridMultilevel"/>
    <w:tmpl w:val="D21C2C12"/>
    <w:lvl w:ilvl="0" w:tplc="F7D66F52">
      <w:start w:val="1"/>
      <w:numFmt w:val="bullet"/>
      <w:lvlText w:val="•"/>
      <w:lvlJc w:val="left"/>
      <w:pPr>
        <w:tabs>
          <w:tab w:val="num" w:pos="720"/>
        </w:tabs>
        <w:ind w:left="720" w:hanging="360"/>
      </w:pPr>
      <w:rPr>
        <w:rFonts w:ascii="Arial" w:hAnsi="Arial" w:hint="default"/>
      </w:rPr>
    </w:lvl>
    <w:lvl w:ilvl="1" w:tplc="FB5222A0" w:tentative="1">
      <w:start w:val="1"/>
      <w:numFmt w:val="bullet"/>
      <w:lvlText w:val="•"/>
      <w:lvlJc w:val="left"/>
      <w:pPr>
        <w:tabs>
          <w:tab w:val="num" w:pos="1440"/>
        </w:tabs>
        <w:ind w:left="1440" w:hanging="360"/>
      </w:pPr>
      <w:rPr>
        <w:rFonts w:ascii="Arial" w:hAnsi="Arial" w:hint="default"/>
      </w:rPr>
    </w:lvl>
    <w:lvl w:ilvl="2" w:tplc="C2801E12" w:tentative="1">
      <w:start w:val="1"/>
      <w:numFmt w:val="bullet"/>
      <w:lvlText w:val="•"/>
      <w:lvlJc w:val="left"/>
      <w:pPr>
        <w:tabs>
          <w:tab w:val="num" w:pos="2160"/>
        </w:tabs>
        <w:ind w:left="2160" w:hanging="360"/>
      </w:pPr>
      <w:rPr>
        <w:rFonts w:ascii="Arial" w:hAnsi="Arial" w:hint="default"/>
      </w:rPr>
    </w:lvl>
    <w:lvl w:ilvl="3" w:tplc="E8C8D008" w:tentative="1">
      <w:start w:val="1"/>
      <w:numFmt w:val="bullet"/>
      <w:lvlText w:val="•"/>
      <w:lvlJc w:val="left"/>
      <w:pPr>
        <w:tabs>
          <w:tab w:val="num" w:pos="2880"/>
        </w:tabs>
        <w:ind w:left="2880" w:hanging="360"/>
      </w:pPr>
      <w:rPr>
        <w:rFonts w:ascii="Arial" w:hAnsi="Arial" w:hint="default"/>
      </w:rPr>
    </w:lvl>
    <w:lvl w:ilvl="4" w:tplc="79727262" w:tentative="1">
      <w:start w:val="1"/>
      <w:numFmt w:val="bullet"/>
      <w:lvlText w:val="•"/>
      <w:lvlJc w:val="left"/>
      <w:pPr>
        <w:tabs>
          <w:tab w:val="num" w:pos="3600"/>
        </w:tabs>
        <w:ind w:left="3600" w:hanging="360"/>
      </w:pPr>
      <w:rPr>
        <w:rFonts w:ascii="Arial" w:hAnsi="Arial" w:hint="default"/>
      </w:rPr>
    </w:lvl>
    <w:lvl w:ilvl="5" w:tplc="A63CE2CC" w:tentative="1">
      <w:start w:val="1"/>
      <w:numFmt w:val="bullet"/>
      <w:lvlText w:val="•"/>
      <w:lvlJc w:val="left"/>
      <w:pPr>
        <w:tabs>
          <w:tab w:val="num" w:pos="4320"/>
        </w:tabs>
        <w:ind w:left="4320" w:hanging="360"/>
      </w:pPr>
      <w:rPr>
        <w:rFonts w:ascii="Arial" w:hAnsi="Arial" w:hint="default"/>
      </w:rPr>
    </w:lvl>
    <w:lvl w:ilvl="6" w:tplc="337203A8" w:tentative="1">
      <w:start w:val="1"/>
      <w:numFmt w:val="bullet"/>
      <w:lvlText w:val="•"/>
      <w:lvlJc w:val="left"/>
      <w:pPr>
        <w:tabs>
          <w:tab w:val="num" w:pos="5040"/>
        </w:tabs>
        <w:ind w:left="5040" w:hanging="360"/>
      </w:pPr>
      <w:rPr>
        <w:rFonts w:ascii="Arial" w:hAnsi="Arial" w:hint="default"/>
      </w:rPr>
    </w:lvl>
    <w:lvl w:ilvl="7" w:tplc="8272CBBA" w:tentative="1">
      <w:start w:val="1"/>
      <w:numFmt w:val="bullet"/>
      <w:lvlText w:val="•"/>
      <w:lvlJc w:val="left"/>
      <w:pPr>
        <w:tabs>
          <w:tab w:val="num" w:pos="5760"/>
        </w:tabs>
        <w:ind w:left="5760" w:hanging="360"/>
      </w:pPr>
      <w:rPr>
        <w:rFonts w:ascii="Arial" w:hAnsi="Arial" w:hint="default"/>
      </w:rPr>
    </w:lvl>
    <w:lvl w:ilvl="8" w:tplc="30AEFB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204F7D"/>
    <w:multiLevelType w:val="hybridMultilevel"/>
    <w:tmpl w:val="6054EE70"/>
    <w:lvl w:ilvl="0" w:tplc="DC02D10A">
      <w:start w:val="1"/>
      <w:numFmt w:val="bullet"/>
      <w:lvlText w:val="•"/>
      <w:lvlJc w:val="left"/>
      <w:pPr>
        <w:tabs>
          <w:tab w:val="num" w:pos="720"/>
        </w:tabs>
        <w:ind w:left="720" w:hanging="360"/>
      </w:pPr>
      <w:rPr>
        <w:rFonts w:ascii="Arial" w:hAnsi="Arial" w:hint="default"/>
      </w:rPr>
    </w:lvl>
    <w:lvl w:ilvl="1" w:tplc="238AACC2" w:tentative="1">
      <w:start w:val="1"/>
      <w:numFmt w:val="bullet"/>
      <w:lvlText w:val="•"/>
      <w:lvlJc w:val="left"/>
      <w:pPr>
        <w:tabs>
          <w:tab w:val="num" w:pos="1440"/>
        </w:tabs>
        <w:ind w:left="1440" w:hanging="360"/>
      </w:pPr>
      <w:rPr>
        <w:rFonts w:ascii="Arial" w:hAnsi="Arial" w:hint="default"/>
      </w:rPr>
    </w:lvl>
    <w:lvl w:ilvl="2" w:tplc="233CFA50" w:tentative="1">
      <w:start w:val="1"/>
      <w:numFmt w:val="bullet"/>
      <w:lvlText w:val="•"/>
      <w:lvlJc w:val="left"/>
      <w:pPr>
        <w:tabs>
          <w:tab w:val="num" w:pos="2160"/>
        </w:tabs>
        <w:ind w:left="2160" w:hanging="360"/>
      </w:pPr>
      <w:rPr>
        <w:rFonts w:ascii="Arial" w:hAnsi="Arial" w:hint="default"/>
      </w:rPr>
    </w:lvl>
    <w:lvl w:ilvl="3" w:tplc="6D40A078" w:tentative="1">
      <w:start w:val="1"/>
      <w:numFmt w:val="bullet"/>
      <w:lvlText w:val="•"/>
      <w:lvlJc w:val="left"/>
      <w:pPr>
        <w:tabs>
          <w:tab w:val="num" w:pos="2880"/>
        </w:tabs>
        <w:ind w:left="2880" w:hanging="360"/>
      </w:pPr>
      <w:rPr>
        <w:rFonts w:ascii="Arial" w:hAnsi="Arial" w:hint="default"/>
      </w:rPr>
    </w:lvl>
    <w:lvl w:ilvl="4" w:tplc="94725704" w:tentative="1">
      <w:start w:val="1"/>
      <w:numFmt w:val="bullet"/>
      <w:lvlText w:val="•"/>
      <w:lvlJc w:val="left"/>
      <w:pPr>
        <w:tabs>
          <w:tab w:val="num" w:pos="3600"/>
        </w:tabs>
        <w:ind w:left="3600" w:hanging="360"/>
      </w:pPr>
      <w:rPr>
        <w:rFonts w:ascii="Arial" w:hAnsi="Arial" w:hint="default"/>
      </w:rPr>
    </w:lvl>
    <w:lvl w:ilvl="5" w:tplc="C88E9416" w:tentative="1">
      <w:start w:val="1"/>
      <w:numFmt w:val="bullet"/>
      <w:lvlText w:val="•"/>
      <w:lvlJc w:val="left"/>
      <w:pPr>
        <w:tabs>
          <w:tab w:val="num" w:pos="4320"/>
        </w:tabs>
        <w:ind w:left="4320" w:hanging="360"/>
      </w:pPr>
      <w:rPr>
        <w:rFonts w:ascii="Arial" w:hAnsi="Arial" w:hint="default"/>
      </w:rPr>
    </w:lvl>
    <w:lvl w:ilvl="6" w:tplc="85AA588A" w:tentative="1">
      <w:start w:val="1"/>
      <w:numFmt w:val="bullet"/>
      <w:lvlText w:val="•"/>
      <w:lvlJc w:val="left"/>
      <w:pPr>
        <w:tabs>
          <w:tab w:val="num" w:pos="5040"/>
        </w:tabs>
        <w:ind w:left="5040" w:hanging="360"/>
      </w:pPr>
      <w:rPr>
        <w:rFonts w:ascii="Arial" w:hAnsi="Arial" w:hint="default"/>
      </w:rPr>
    </w:lvl>
    <w:lvl w:ilvl="7" w:tplc="1CCAF932" w:tentative="1">
      <w:start w:val="1"/>
      <w:numFmt w:val="bullet"/>
      <w:lvlText w:val="•"/>
      <w:lvlJc w:val="left"/>
      <w:pPr>
        <w:tabs>
          <w:tab w:val="num" w:pos="5760"/>
        </w:tabs>
        <w:ind w:left="5760" w:hanging="360"/>
      </w:pPr>
      <w:rPr>
        <w:rFonts w:ascii="Arial" w:hAnsi="Arial" w:hint="default"/>
      </w:rPr>
    </w:lvl>
    <w:lvl w:ilvl="8" w:tplc="893067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C4746B"/>
    <w:multiLevelType w:val="hybridMultilevel"/>
    <w:tmpl w:val="DC180A58"/>
    <w:lvl w:ilvl="0" w:tplc="35C8980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05"/>
    <w:rsid w:val="00020094"/>
    <w:rsid w:val="00027167"/>
    <w:rsid w:val="000364CE"/>
    <w:rsid w:val="00040C63"/>
    <w:rsid w:val="00085005"/>
    <w:rsid w:val="000C3789"/>
    <w:rsid w:val="000C3B30"/>
    <w:rsid w:val="000C51DC"/>
    <w:rsid w:val="000D2314"/>
    <w:rsid w:val="000D50B8"/>
    <w:rsid w:val="001028D7"/>
    <w:rsid w:val="001116CA"/>
    <w:rsid w:val="00113482"/>
    <w:rsid w:val="0012108B"/>
    <w:rsid w:val="00123C45"/>
    <w:rsid w:val="00137BF2"/>
    <w:rsid w:val="00144F39"/>
    <w:rsid w:val="001545A0"/>
    <w:rsid w:val="00166B08"/>
    <w:rsid w:val="001670C9"/>
    <w:rsid w:val="001718A8"/>
    <w:rsid w:val="00173F86"/>
    <w:rsid w:val="00180D7B"/>
    <w:rsid w:val="0018314D"/>
    <w:rsid w:val="00197CCA"/>
    <w:rsid w:val="001A1D06"/>
    <w:rsid w:val="001B4EB3"/>
    <w:rsid w:val="001B6698"/>
    <w:rsid w:val="001C59F0"/>
    <w:rsid w:val="001D0B01"/>
    <w:rsid w:val="001D6C6F"/>
    <w:rsid w:val="001E3DDE"/>
    <w:rsid w:val="001F3BB5"/>
    <w:rsid w:val="00224005"/>
    <w:rsid w:val="00224D09"/>
    <w:rsid w:val="00225DDB"/>
    <w:rsid w:val="002533DA"/>
    <w:rsid w:val="002613F5"/>
    <w:rsid w:val="002716BD"/>
    <w:rsid w:val="00271D3D"/>
    <w:rsid w:val="0027281A"/>
    <w:rsid w:val="00273F7F"/>
    <w:rsid w:val="00277BF6"/>
    <w:rsid w:val="0028381F"/>
    <w:rsid w:val="002B2BAE"/>
    <w:rsid w:val="002B440E"/>
    <w:rsid w:val="002C5752"/>
    <w:rsid w:val="002C5775"/>
    <w:rsid w:val="002C57A9"/>
    <w:rsid w:val="002D3BB0"/>
    <w:rsid w:val="002E3F0B"/>
    <w:rsid w:val="002F5B20"/>
    <w:rsid w:val="002F6457"/>
    <w:rsid w:val="003201B3"/>
    <w:rsid w:val="00330578"/>
    <w:rsid w:val="003335F7"/>
    <w:rsid w:val="00340D04"/>
    <w:rsid w:val="003561DA"/>
    <w:rsid w:val="00356C12"/>
    <w:rsid w:val="00357B2C"/>
    <w:rsid w:val="00365A47"/>
    <w:rsid w:val="00377BA9"/>
    <w:rsid w:val="003834E4"/>
    <w:rsid w:val="00384090"/>
    <w:rsid w:val="00392184"/>
    <w:rsid w:val="003932CE"/>
    <w:rsid w:val="003B480A"/>
    <w:rsid w:val="003B554E"/>
    <w:rsid w:val="003C45F5"/>
    <w:rsid w:val="003C5884"/>
    <w:rsid w:val="003D1219"/>
    <w:rsid w:val="003D1F59"/>
    <w:rsid w:val="003E03CC"/>
    <w:rsid w:val="003E2B48"/>
    <w:rsid w:val="003E332D"/>
    <w:rsid w:val="003E3358"/>
    <w:rsid w:val="003F0E7D"/>
    <w:rsid w:val="003F0F4F"/>
    <w:rsid w:val="0040394F"/>
    <w:rsid w:val="00416A87"/>
    <w:rsid w:val="004529A2"/>
    <w:rsid w:val="00470DC8"/>
    <w:rsid w:val="00472FEB"/>
    <w:rsid w:val="004745C1"/>
    <w:rsid w:val="00477920"/>
    <w:rsid w:val="00494EFF"/>
    <w:rsid w:val="004A2B87"/>
    <w:rsid w:val="004A2EE8"/>
    <w:rsid w:val="004C7F6E"/>
    <w:rsid w:val="004D3704"/>
    <w:rsid w:val="004E5052"/>
    <w:rsid w:val="004E64F5"/>
    <w:rsid w:val="004F0D38"/>
    <w:rsid w:val="004F1D54"/>
    <w:rsid w:val="004F442E"/>
    <w:rsid w:val="005004B4"/>
    <w:rsid w:val="00504BF0"/>
    <w:rsid w:val="00516E0F"/>
    <w:rsid w:val="00517FEE"/>
    <w:rsid w:val="0052140D"/>
    <w:rsid w:val="00530F17"/>
    <w:rsid w:val="00540E73"/>
    <w:rsid w:val="00543F2C"/>
    <w:rsid w:val="00550F4C"/>
    <w:rsid w:val="0056092B"/>
    <w:rsid w:val="00572E02"/>
    <w:rsid w:val="00574B66"/>
    <w:rsid w:val="00576CCD"/>
    <w:rsid w:val="00586F65"/>
    <w:rsid w:val="005917FF"/>
    <w:rsid w:val="005A0332"/>
    <w:rsid w:val="005A55D5"/>
    <w:rsid w:val="005B23F7"/>
    <w:rsid w:val="005B39ED"/>
    <w:rsid w:val="005B4B37"/>
    <w:rsid w:val="005F0D8A"/>
    <w:rsid w:val="005F2F2F"/>
    <w:rsid w:val="005F60F4"/>
    <w:rsid w:val="0063561E"/>
    <w:rsid w:val="006359B4"/>
    <w:rsid w:val="00661505"/>
    <w:rsid w:val="0066615D"/>
    <w:rsid w:val="006729D6"/>
    <w:rsid w:val="00672A5C"/>
    <w:rsid w:val="006853A7"/>
    <w:rsid w:val="00690D77"/>
    <w:rsid w:val="0069145E"/>
    <w:rsid w:val="006B7DB5"/>
    <w:rsid w:val="006C22AA"/>
    <w:rsid w:val="006D623A"/>
    <w:rsid w:val="00711F13"/>
    <w:rsid w:val="00722639"/>
    <w:rsid w:val="00726C26"/>
    <w:rsid w:val="007314F5"/>
    <w:rsid w:val="00735AC6"/>
    <w:rsid w:val="00745875"/>
    <w:rsid w:val="007521AB"/>
    <w:rsid w:val="00756802"/>
    <w:rsid w:val="00757A8C"/>
    <w:rsid w:val="007673B8"/>
    <w:rsid w:val="0078245C"/>
    <w:rsid w:val="00784B05"/>
    <w:rsid w:val="007A2A31"/>
    <w:rsid w:val="007A7043"/>
    <w:rsid w:val="007B4F17"/>
    <w:rsid w:val="007C14EF"/>
    <w:rsid w:val="007C42EC"/>
    <w:rsid w:val="007C5BB4"/>
    <w:rsid w:val="007D1225"/>
    <w:rsid w:val="007E1230"/>
    <w:rsid w:val="007E320F"/>
    <w:rsid w:val="008171C7"/>
    <w:rsid w:val="008373BA"/>
    <w:rsid w:val="0084175A"/>
    <w:rsid w:val="00857A65"/>
    <w:rsid w:val="00880833"/>
    <w:rsid w:val="00880B44"/>
    <w:rsid w:val="00885AE4"/>
    <w:rsid w:val="00894B3E"/>
    <w:rsid w:val="008C0802"/>
    <w:rsid w:val="008C5AC6"/>
    <w:rsid w:val="008D322E"/>
    <w:rsid w:val="008D7183"/>
    <w:rsid w:val="008E4002"/>
    <w:rsid w:val="00917E08"/>
    <w:rsid w:val="009209F9"/>
    <w:rsid w:val="00922694"/>
    <w:rsid w:val="009260C5"/>
    <w:rsid w:val="00926909"/>
    <w:rsid w:val="00933BD7"/>
    <w:rsid w:val="0096220E"/>
    <w:rsid w:val="00962ABA"/>
    <w:rsid w:val="00963706"/>
    <w:rsid w:val="009642AC"/>
    <w:rsid w:val="00970B58"/>
    <w:rsid w:val="00970F2B"/>
    <w:rsid w:val="009935B7"/>
    <w:rsid w:val="009A2FD0"/>
    <w:rsid w:val="009C3F56"/>
    <w:rsid w:val="009D2924"/>
    <w:rsid w:val="009D3200"/>
    <w:rsid w:val="009E17E1"/>
    <w:rsid w:val="009E1920"/>
    <w:rsid w:val="009F4D98"/>
    <w:rsid w:val="00A02EDB"/>
    <w:rsid w:val="00A05EBF"/>
    <w:rsid w:val="00A10318"/>
    <w:rsid w:val="00A12006"/>
    <w:rsid w:val="00A17D17"/>
    <w:rsid w:val="00A25CFC"/>
    <w:rsid w:val="00A40B3E"/>
    <w:rsid w:val="00A4785E"/>
    <w:rsid w:val="00A575A4"/>
    <w:rsid w:val="00A60D03"/>
    <w:rsid w:val="00A65617"/>
    <w:rsid w:val="00A73CBD"/>
    <w:rsid w:val="00AA07B6"/>
    <w:rsid w:val="00AA26AE"/>
    <w:rsid w:val="00AB66F9"/>
    <w:rsid w:val="00AD5FFE"/>
    <w:rsid w:val="00AE07CB"/>
    <w:rsid w:val="00AE0A57"/>
    <w:rsid w:val="00AF305E"/>
    <w:rsid w:val="00B022E2"/>
    <w:rsid w:val="00B10C45"/>
    <w:rsid w:val="00B155C2"/>
    <w:rsid w:val="00B245DE"/>
    <w:rsid w:val="00B27A32"/>
    <w:rsid w:val="00B55356"/>
    <w:rsid w:val="00B77A69"/>
    <w:rsid w:val="00B80530"/>
    <w:rsid w:val="00B86DC9"/>
    <w:rsid w:val="00BA2490"/>
    <w:rsid w:val="00BA5D6B"/>
    <w:rsid w:val="00BB3B89"/>
    <w:rsid w:val="00BB422B"/>
    <w:rsid w:val="00BB4F3F"/>
    <w:rsid w:val="00BC5E1A"/>
    <w:rsid w:val="00BE5CA3"/>
    <w:rsid w:val="00BE632A"/>
    <w:rsid w:val="00BF0531"/>
    <w:rsid w:val="00C024CA"/>
    <w:rsid w:val="00C052D2"/>
    <w:rsid w:val="00C17FEE"/>
    <w:rsid w:val="00C20EAA"/>
    <w:rsid w:val="00C244C4"/>
    <w:rsid w:val="00C30C92"/>
    <w:rsid w:val="00C464F9"/>
    <w:rsid w:val="00C50F0D"/>
    <w:rsid w:val="00C63A4F"/>
    <w:rsid w:val="00C70C9E"/>
    <w:rsid w:val="00C70DA1"/>
    <w:rsid w:val="00C75FB9"/>
    <w:rsid w:val="00C772CE"/>
    <w:rsid w:val="00C92FFB"/>
    <w:rsid w:val="00CA6A25"/>
    <w:rsid w:val="00CA6DD4"/>
    <w:rsid w:val="00CC3302"/>
    <w:rsid w:val="00CF3688"/>
    <w:rsid w:val="00D05577"/>
    <w:rsid w:val="00D1675C"/>
    <w:rsid w:val="00D22A3E"/>
    <w:rsid w:val="00D3043A"/>
    <w:rsid w:val="00D335E7"/>
    <w:rsid w:val="00D56D00"/>
    <w:rsid w:val="00D662F3"/>
    <w:rsid w:val="00D67060"/>
    <w:rsid w:val="00D71F0E"/>
    <w:rsid w:val="00D73AA1"/>
    <w:rsid w:val="00DC31E9"/>
    <w:rsid w:val="00DD04AC"/>
    <w:rsid w:val="00DD67A7"/>
    <w:rsid w:val="00DE0026"/>
    <w:rsid w:val="00DE5FBD"/>
    <w:rsid w:val="00E1614F"/>
    <w:rsid w:val="00E16E4D"/>
    <w:rsid w:val="00E175B4"/>
    <w:rsid w:val="00E32A17"/>
    <w:rsid w:val="00E52188"/>
    <w:rsid w:val="00E62D15"/>
    <w:rsid w:val="00E73BBE"/>
    <w:rsid w:val="00E75888"/>
    <w:rsid w:val="00E769A5"/>
    <w:rsid w:val="00E8404E"/>
    <w:rsid w:val="00E867D2"/>
    <w:rsid w:val="00E92E75"/>
    <w:rsid w:val="00E954C2"/>
    <w:rsid w:val="00EB44E1"/>
    <w:rsid w:val="00EB68D2"/>
    <w:rsid w:val="00EB77E6"/>
    <w:rsid w:val="00EC290B"/>
    <w:rsid w:val="00EC65FB"/>
    <w:rsid w:val="00ED5E4C"/>
    <w:rsid w:val="00EE04FB"/>
    <w:rsid w:val="00F04549"/>
    <w:rsid w:val="00F06A07"/>
    <w:rsid w:val="00F14A84"/>
    <w:rsid w:val="00F214C9"/>
    <w:rsid w:val="00F25970"/>
    <w:rsid w:val="00F270E8"/>
    <w:rsid w:val="00F37668"/>
    <w:rsid w:val="00F42C76"/>
    <w:rsid w:val="00F56F85"/>
    <w:rsid w:val="00F648E6"/>
    <w:rsid w:val="00F7091D"/>
    <w:rsid w:val="00FA2087"/>
    <w:rsid w:val="00FE65CA"/>
    <w:rsid w:val="14F6236C"/>
    <w:rsid w:val="243A52D1"/>
    <w:rsid w:val="552DB0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2F9B"/>
  <w15:chartTrackingRefBased/>
  <w15:docId w15:val="{02EFB81A-300E-4673-8D98-C4FC18AF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05"/>
    <w:pPr>
      <w:spacing w:after="0" w:line="240" w:lineRule="auto"/>
    </w:pPr>
    <w:rPr>
      <w:rFonts w:ascii="Calibri" w:hAnsi="Calibri"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505"/>
    <w:rPr>
      <w:color w:val="0563C1"/>
      <w:u w:val="single"/>
    </w:rPr>
  </w:style>
  <w:style w:type="paragraph" w:styleId="ListParagraph">
    <w:name w:val="List Paragraph"/>
    <w:basedOn w:val="Normal"/>
    <w:uiPriority w:val="34"/>
    <w:qFormat/>
    <w:rsid w:val="00123C45"/>
    <w:pPr>
      <w:ind w:left="720"/>
      <w:contextualSpacing/>
    </w:pPr>
  </w:style>
  <w:style w:type="paragraph" w:styleId="BalloonText">
    <w:name w:val="Balloon Text"/>
    <w:basedOn w:val="Normal"/>
    <w:link w:val="BalloonTextChar"/>
    <w:uiPriority w:val="99"/>
    <w:semiHidden/>
    <w:unhideWhenUsed/>
    <w:rsid w:val="008D3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2E"/>
    <w:rPr>
      <w:rFonts w:ascii="Segoe UI" w:hAnsi="Segoe UI" w:cs="Segoe UI"/>
      <w:sz w:val="18"/>
      <w:szCs w:val="18"/>
      <w:lang w:eastAsia="fi-FI"/>
    </w:rPr>
  </w:style>
  <w:style w:type="paragraph" w:styleId="Header">
    <w:name w:val="header"/>
    <w:basedOn w:val="Normal"/>
    <w:link w:val="HeaderChar"/>
    <w:uiPriority w:val="99"/>
    <w:unhideWhenUsed/>
    <w:rsid w:val="00D71F0E"/>
    <w:pPr>
      <w:tabs>
        <w:tab w:val="center" w:pos="4819"/>
        <w:tab w:val="right" w:pos="9638"/>
      </w:tabs>
    </w:pPr>
  </w:style>
  <w:style w:type="character" w:customStyle="1" w:styleId="HeaderChar">
    <w:name w:val="Header Char"/>
    <w:basedOn w:val="DefaultParagraphFont"/>
    <w:link w:val="Header"/>
    <w:uiPriority w:val="99"/>
    <w:rsid w:val="00D71F0E"/>
    <w:rPr>
      <w:rFonts w:ascii="Calibri" w:hAnsi="Calibri" w:cs="Times New Roman"/>
      <w:sz w:val="24"/>
      <w:szCs w:val="24"/>
      <w:lang w:eastAsia="fi-FI"/>
    </w:rPr>
  </w:style>
  <w:style w:type="paragraph" w:styleId="Footer">
    <w:name w:val="footer"/>
    <w:basedOn w:val="Normal"/>
    <w:link w:val="FooterChar"/>
    <w:uiPriority w:val="99"/>
    <w:unhideWhenUsed/>
    <w:rsid w:val="00D71F0E"/>
    <w:pPr>
      <w:tabs>
        <w:tab w:val="center" w:pos="4819"/>
        <w:tab w:val="right" w:pos="9638"/>
      </w:tabs>
    </w:pPr>
  </w:style>
  <w:style w:type="character" w:customStyle="1" w:styleId="FooterChar">
    <w:name w:val="Footer Char"/>
    <w:basedOn w:val="DefaultParagraphFont"/>
    <w:link w:val="Footer"/>
    <w:uiPriority w:val="99"/>
    <w:rsid w:val="00D71F0E"/>
    <w:rPr>
      <w:rFonts w:ascii="Calibri" w:hAnsi="Calibri" w:cs="Times New Roman"/>
      <w:sz w:val="24"/>
      <w:szCs w:val="24"/>
      <w:lang w:eastAsia="fi-F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lang w:eastAsia="fi-F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6E0F"/>
    <w:rPr>
      <w:b/>
      <w:bCs/>
    </w:rPr>
  </w:style>
  <w:style w:type="character" w:customStyle="1" w:styleId="CommentSubjectChar">
    <w:name w:val="Comment Subject Char"/>
    <w:basedOn w:val="CommentTextChar"/>
    <w:link w:val="CommentSubject"/>
    <w:uiPriority w:val="99"/>
    <w:semiHidden/>
    <w:rsid w:val="00516E0F"/>
    <w:rPr>
      <w:rFonts w:ascii="Calibri" w:hAnsi="Calibri" w:cs="Times New Roman"/>
      <w:b/>
      <w:bCs/>
      <w:sz w:val="20"/>
      <w:szCs w:val="20"/>
      <w:lang w:eastAsia="fi-FI"/>
    </w:rPr>
  </w:style>
  <w:style w:type="paragraph" w:customStyle="1" w:styleId="Default">
    <w:name w:val="Default"/>
    <w:rsid w:val="00EC290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C70DA1"/>
    <w:rPr>
      <w:sz w:val="20"/>
      <w:szCs w:val="20"/>
    </w:rPr>
  </w:style>
  <w:style w:type="character" w:customStyle="1" w:styleId="EndnoteTextChar">
    <w:name w:val="Endnote Text Char"/>
    <w:basedOn w:val="DefaultParagraphFont"/>
    <w:link w:val="EndnoteText"/>
    <w:uiPriority w:val="99"/>
    <w:semiHidden/>
    <w:rsid w:val="00C70DA1"/>
    <w:rPr>
      <w:rFonts w:ascii="Calibri" w:hAnsi="Calibri" w:cs="Times New Roman"/>
      <w:sz w:val="20"/>
      <w:szCs w:val="20"/>
      <w:lang w:eastAsia="fi-FI"/>
    </w:rPr>
  </w:style>
  <w:style w:type="character" w:styleId="EndnoteReference">
    <w:name w:val="endnote reference"/>
    <w:basedOn w:val="DefaultParagraphFont"/>
    <w:uiPriority w:val="99"/>
    <w:semiHidden/>
    <w:unhideWhenUsed/>
    <w:rsid w:val="00C70DA1"/>
    <w:rPr>
      <w:vertAlign w:val="superscript"/>
    </w:rPr>
  </w:style>
  <w:style w:type="paragraph" w:styleId="FootnoteText">
    <w:name w:val="footnote text"/>
    <w:basedOn w:val="Normal"/>
    <w:link w:val="FootnoteTextChar"/>
    <w:uiPriority w:val="99"/>
    <w:semiHidden/>
    <w:unhideWhenUsed/>
    <w:rsid w:val="00C70DA1"/>
    <w:rPr>
      <w:sz w:val="20"/>
      <w:szCs w:val="20"/>
    </w:rPr>
  </w:style>
  <w:style w:type="character" w:customStyle="1" w:styleId="FootnoteTextChar">
    <w:name w:val="Footnote Text Char"/>
    <w:basedOn w:val="DefaultParagraphFont"/>
    <w:link w:val="FootnoteText"/>
    <w:uiPriority w:val="99"/>
    <w:semiHidden/>
    <w:rsid w:val="00C70DA1"/>
    <w:rPr>
      <w:rFonts w:ascii="Calibri" w:hAnsi="Calibri" w:cs="Times New Roman"/>
      <w:sz w:val="20"/>
      <w:szCs w:val="20"/>
      <w:lang w:eastAsia="fi-FI"/>
    </w:rPr>
  </w:style>
  <w:style w:type="character" w:styleId="FootnoteReference">
    <w:name w:val="footnote reference"/>
    <w:basedOn w:val="DefaultParagraphFont"/>
    <w:uiPriority w:val="99"/>
    <w:semiHidden/>
    <w:unhideWhenUsed/>
    <w:rsid w:val="00C70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5577">
      <w:bodyDiv w:val="1"/>
      <w:marLeft w:val="0"/>
      <w:marRight w:val="0"/>
      <w:marTop w:val="0"/>
      <w:marBottom w:val="0"/>
      <w:divBdr>
        <w:top w:val="none" w:sz="0" w:space="0" w:color="auto"/>
        <w:left w:val="none" w:sz="0" w:space="0" w:color="auto"/>
        <w:bottom w:val="none" w:sz="0" w:space="0" w:color="auto"/>
        <w:right w:val="none" w:sz="0" w:space="0" w:color="auto"/>
      </w:divBdr>
    </w:div>
    <w:div w:id="522600055">
      <w:bodyDiv w:val="1"/>
      <w:marLeft w:val="0"/>
      <w:marRight w:val="0"/>
      <w:marTop w:val="0"/>
      <w:marBottom w:val="0"/>
      <w:divBdr>
        <w:top w:val="none" w:sz="0" w:space="0" w:color="auto"/>
        <w:left w:val="none" w:sz="0" w:space="0" w:color="auto"/>
        <w:bottom w:val="none" w:sz="0" w:space="0" w:color="auto"/>
        <w:right w:val="none" w:sz="0" w:space="0" w:color="auto"/>
      </w:divBdr>
      <w:divsChild>
        <w:div w:id="1045982498">
          <w:marLeft w:val="418"/>
          <w:marRight w:val="0"/>
          <w:marTop w:val="0"/>
          <w:marBottom w:val="160"/>
          <w:divBdr>
            <w:top w:val="none" w:sz="0" w:space="0" w:color="auto"/>
            <w:left w:val="none" w:sz="0" w:space="0" w:color="auto"/>
            <w:bottom w:val="none" w:sz="0" w:space="0" w:color="auto"/>
            <w:right w:val="none" w:sz="0" w:space="0" w:color="auto"/>
          </w:divBdr>
        </w:div>
        <w:div w:id="173499097">
          <w:marLeft w:val="418"/>
          <w:marRight w:val="0"/>
          <w:marTop w:val="0"/>
          <w:marBottom w:val="160"/>
          <w:divBdr>
            <w:top w:val="none" w:sz="0" w:space="0" w:color="auto"/>
            <w:left w:val="none" w:sz="0" w:space="0" w:color="auto"/>
            <w:bottom w:val="none" w:sz="0" w:space="0" w:color="auto"/>
            <w:right w:val="none" w:sz="0" w:space="0" w:color="auto"/>
          </w:divBdr>
        </w:div>
        <w:div w:id="1081949302">
          <w:marLeft w:val="418"/>
          <w:marRight w:val="0"/>
          <w:marTop w:val="0"/>
          <w:marBottom w:val="160"/>
          <w:divBdr>
            <w:top w:val="none" w:sz="0" w:space="0" w:color="auto"/>
            <w:left w:val="none" w:sz="0" w:space="0" w:color="auto"/>
            <w:bottom w:val="none" w:sz="0" w:space="0" w:color="auto"/>
            <w:right w:val="none" w:sz="0" w:space="0" w:color="auto"/>
          </w:divBdr>
        </w:div>
      </w:divsChild>
    </w:div>
    <w:div w:id="706680234">
      <w:bodyDiv w:val="1"/>
      <w:marLeft w:val="0"/>
      <w:marRight w:val="0"/>
      <w:marTop w:val="0"/>
      <w:marBottom w:val="0"/>
      <w:divBdr>
        <w:top w:val="none" w:sz="0" w:space="0" w:color="auto"/>
        <w:left w:val="none" w:sz="0" w:space="0" w:color="auto"/>
        <w:bottom w:val="none" w:sz="0" w:space="0" w:color="auto"/>
        <w:right w:val="none" w:sz="0" w:space="0" w:color="auto"/>
      </w:divBdr>
      <w:divsChild>
        <w:div w:id="383603546">
          <w:marLeft w:val="418"/>
          <w:marRight w:val="0"/>
          <w:marTop w:val="0"/>
          <w:marBottom w:val="160"/>
          <w:divBdr>
            <w:top w:val="none" w:sz="0" w:space="0" w:color="auto"/>
            <w:left w:val="none" w:sz="0" w:space="0" w:color="auto"/>
            <w:bottom w:val="none" w:sz="0" w:space="0" w:color="auto"/>
            <w:right w:val="none" w:sz="0" w:space="0" w:color="auto"/>
          </w:divBdr>
        </w:div>
        <w:div w:id="32317863">
          <w:marLeft w:val="418"/>
          <w:marRight w:val="0"/>
          <w:marTop w:val="0"/>
          <w:marBottom w:val="160"/>
          <w:divBdr>
            <w:top w:val="none" w:sz="0" w:space="0" w:color="auto"/>
            <w:left w:val="none" w:sz="0" w:space="0" w:color="auto"/>
            <w:bottom w:val="none" w:sz="0" w:space="0" w:color="auto"/>
            <w:right w:val="none" w:sz="0" w:space="0" w:color="auto"/>
          </w:divBdr>
        </w:div>
        <w:div w:id="1888951562">
          <w:marLeft w:val="418"/>
          <w:marRight w:val="0"/>
          <w:marTop w:val="0"/>
          <w:marBottom w:val="160"/>
          <w:divBdr>
            <w:top w:val="none" w:sz="0" w:space="0" w:color="auto"/>
            <w:left w:val="none" w:sz="0" w:space="0" w:color="auto"/>
            <w:bottom w:val="none" w:sz="0" w:space="0" w:color="auto"/>
            <w:right w:val="none" w:sz="0" w:space="0" w:color="auto"/>
          </w:divBdr>
        </w:div>
      </w:divsChild>
    </w:div>
    <w:div w:id="1163740353">
      <w:bodyDiv w:val="1"/>
      <w:marLeft w:val="0"/>
      <w:marRight w:val="0"/>
      <w:marTop w:val="0"/>
      <w:marBottom w:val="0"/>
      <w:divBdr>
        <w:top w:val="none" w:sz="0" w:space="0" w:color="auto"/>
        <w:left w:val="none" w:sz="0" w:space="0" w:color="auto"/>
        <w:bottom w:val="none" w:sz="0" w:space="0" w:color="auto"/>
        <w:right w:val="none" w:sz="0" w:space="0" w:color="auto"/>
      </w:divBdr>
    </w:div>
    <w:div w:id="1683628823">
      <w:bodyDiv w:val="1"/>
      <w:marLeft w:val="0"/>
      <w:marRight w:val="0"/>
      <w:marTop w:val="0"/>
      <w:marBottom w:val="0"/>
      <w:divBdr>
        <w:top w:val="none" w:sz="0" w:space="0" w:color="auto"/>
        <w:left w:val="none" w:sz="0" w:space="0" w:color="auto"/>
        <w:bottom w:val="none" w:sz="0" w:space="0" w:color="auto"/>
        <w:right w:val="none" w:sz="0" w:space="0" w:color="auto"/>
      </w:divBdr>
      <w:divsChild>
        <w:div w:id="1044865092">
          <w:marLeft w:val="418"/>
          <w:marRight w:val="0"/>
          <w:marTop w:val="0"/>
          <w:marBottom w:val="160"/>
          <w:divBdr>
            <w:top w:val="none" w:sz="0" w:space="0" w:color="auto"/>
            <w:left w:val="none" w:sz="0" w:space="0" w:color="auto"/>
            <w:bottom w:val="none" w:sz="0" w:space="0" w:color="auto"/>
            <w:right w:val="none" w:sz="0" w:space="0" w:color="auto"/>
          </w:divBdr>
        </w:div>
        <w:div w:id="1497652061">
          <w:marLeft w:val="418"/>
          <w:marRight w:val="0"/>
          <w:marTop w:val="0"/>
          <w:marBottom w:val="160"/>
          <w:divBdr>
            <w:top w:val="none" w:sz="0" w:space="0" w:color="auto"/>
            <w:left w:val="none" w:sz="0" w:space="0" w:color="auto"/>
            <w:bottom w:val="none" w:sz="0" w:space="0" w:color="auto"/>
            <w:right w:val="none" w:sz="0" w:space="0" w:color="auto"/>
          </w:divBdr>
        </w:div>
        <w:div w:id="1730105078">
          <w:marLeft w:val="418"/>
          <w:marRight w:val="0"/>
          <w:marTop w:val="0"/>
          <w:marBottom w:val="160"/>
          <w:divBdr>
            <w:top w:val="none" w:sz="0" w:space="0" w:color="auto"/>
            <w:left w:val="none" w:sz="0" w:space="0" w:color="auto"/>
            <w:bottom w:val="none" w:sz="0" w:space="0" w:color="auto"/>
            <w:right w:val="none" w:sz="0" w:space="0" w:color="auto"/>
          </w:divBdr>
        </w:div>
      </w:divsChild>
    </w:div>
    <w:div w:id="17782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A307-D713-438B-BDA9-66A805A2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2562</Words>
  <Characters>20761</Characters>
  <Application>Microsoft Office Word</Application>
  <DocSecurity>0</DocSecurity>
  <Lines>173</Lines>
  <Paragraphs>46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 Kathrin</dc:creator>
  <cp:keywords/>
  <dc:description/>
  <cp:lastModifiedBy>Komp, Kathrin</cp:lastModifiedBy>
  <cp:revision>2</cp:revision>
  <dcterms:created xsi:type="dcterms:W3CDTF">2017-08-07T08:20:00Z</dcterms:created>
  <dcterms:modified xsi:type="dcterms:W3CDTF">2017-08-07T08:20:00Z</dcterms:modified>
</cp:coreProperties>
</file>